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745" w:rsidRPr="00A817F8" w:rsidRDefault="003F2FD1" w:rsidP="0017025A">
      <w:pPr>
        <w:pStyle w:val="Nagwek3"/>
        <w:spacing w:before="0" w:after="0" w:line="240" w:lineRule="auto"/>
        <w:ind w:left="0" w:firstLine="0"/>
        <w:rPr>
          <w:u w:val="single"/>
        </w:rPr>
      </w:pPr>
      <w:r>
        <w:rPr>
          <w:u w:val="single"/>
        </w:rPr>
        <w:t>Bariery ochronne</w:t>
      </w:r>
    </w:p>
    <w:p w:rsidR="00C111DC" w:rsidRDefault="009E0745" w:rsidP="0017025A">
      <w:pPr>
        <w:numPr>
          <w:ilvl w:val="0"/>
          <w:numId w:val="4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A817F8">
        <w:rPr>
          <w:color w:val="000000"/>
          <w:spacing w:val="-1"/>
          <w:szCs w:val="22"/>
        </w:rPr>
        <w:t xml:space="preserve"> Bariery ochronne odpowiedniego typu należy zamontować </w:t>
      </w:r>
      <w:r w:rsidR="00724D9C">
        <w:rPr>
          <w:color w:val="000000"/>
          <w:spacing w:val="-1"/>
          <w:szCs w:val="22"/>
        </w:rPr>
        <w:t>w lokalizacjach</w:t>
      </w:r>
      <w:r w:rsidRPr="00A817F8">
        <w:rPr>
          <w:color w:val="000000"/>
          <w:spacing w:val="-1"/>
          <w:szCs w:val="22"/>
        </w:rPr>
        <w:t xml:space="preserve">, w których </w:t>
      </w:r>
      <w:r w:rsidR="00B7327C" w:rsidRPr="00A817F8">
        <w:rPr>
          <w:color w:val="000000"/>
          <w:spacing w:val="-1"/>
          <w:szCs w:val="22"/>
        </w:rPr>
        <w:t xml:space="preserve">zachodzi konieczność ich montażu </w:t>
      </w:r>
      <w:r w:rsidRPr="00A817F8">
        <w:rPr>
          <w:color w:val="000000"/>
          <w:spacing w:val="-1"/>
          <w:szCs w:val="22"/>
        </w:rPr>
        <w:t>na podstawie obowiązujących przepisów</w:t>
      </w:r>
      <w:r w:rsidR="00724D9C">
        <w:rPr>
          <w:color w:val="000000"/>
          <w:spacing w:val="-1"/>
          <w:szCs w:val="22"/>
        </w:rPr>
        <w:t xml:space="preserve"> – w </w:t>
      </w:r>
      <w:r w:rsidR="00B7327C">
        <w:rPr>
          <w:color w:val="000000"/>
          <w:spacing w:val="-1"/>
          <w:szCs w:val="22"/>
        </w:rPr>
        <w:t>szczególności Rozporządzenia Ministra Infrastruktury w sprawie przepisów techniczno-budowlanych dotyczących dróg publicznych</w:t>
      </w:r>
      <w:r w:rsidR="00A57F4B">
        <w:rPr>
          <w:color w:val="000000"/>
          <w:spacing w:val="-1"/>
          <w:szCs w:val="22"/>
        </w:rPr>
        <w:t xml:space="preserve"> </w:t>
      </w:r>
      <w:r w:rsidR="00152972">
        <w:rPr>
          <w:color w:val="000000"/>
          <w:spacing w:val="-1"/>
          <w:szCs w:val="22"/>
        </w:rPr>
        <w:t xml:space="preserve">(Dz. U. z 2022 poz. 1518 z </w:t>
      </w:r>
      <w:proofErr w:type="spellStart"/>
      <w:r w:rsidR="00152972">
        <w:rPr>
          <w:color w:val="000000"/>
          <w:spacing w:val="-1"/>
          <w:szCs w:val="22"/>
        </w:rPr>
        <w:t>późn</w:t>
      </w:r>
      <w:proofErr w:type="spellEnd"/>
      <w:r w:rsidR="00152972">
        <w:rPr>
          <w:color w:val="000000"/>
          <w:spacing w:val="-1"/>
          <w:szCs w:val="22"/>
        </w:rPr>
        <w:t xml:space="preserve">. zm.), </w:t>
      </w:r>
      <w:r w:rsidR="00C111DC">
        <w:rPr>
          <w:color w:val="000000"/>
          <w:spacing w:val="-1"/>
          <w:szCs w:val="22"/>
        </w:rPr>
        <w:t>oraz wytycznych</w:t>
      </w:r>
      <w:r w:rsidR="00B7327C">
        <w:rPr>
          <w:color w:val="000000"/>
          <w:spacing w:val="-1"/>
          <w:szCs w:val="22"/>
        </w:rPr>
        <w:t xml:space="preserve"> projektowania odcinków dróg zamiejskich – część 3: wyposażenie techniczne (</w:t>
      </w:r>
      <w:r w:rsidR="00F32041">
        <w:rPr>
          <w:color w:val="000000"/>
          <w:spacing w:val="-1"/>
          <w:szCs w:val="22"/>
        </w:rPr>
        <w:t>WR-D-22-3</w:t>
      </w:r>
      <w:r w:rsidR="00B7327C">
        <w:rPr>
          <w:color w:val="000000"/>
          <w:spacing w:val="-1"/>
          <w:szCs w:val="22"/>
        </w:rPr>
        <w:t>)</w:t>
      </w:r>
      <w:r w:rsidR="00C111DC">
        <w:rPr>
          <w:color w:val="000000"/>
          <w:spacing w:val="-1"/>
          <w:szCs w:val="22"/>
        </w:rPr>
        <w:t>.</w:t>
      </w:r>
      <w:r w:rsidR="00724D9C">
        <w:rPr>
          <w:color w:val="000000"/>
          <w:spacing w:val="-1"/>
          <w:szCs w:val="22"/>
        </w:rPr>
        <w:t xml:space="preserve"> Geometria drogi musi być tak ukształtowana, by zamontowane w tych lokalizacjach bariery mi</w:t>
      </w:r>
      <w:r w:rsidR="00152972">
        <w:rPr>
          <w:color w:val="000000"/>
          <w:spacing w:val="-1"/>
          <w:szCs w:val="22"/>
        </w:rPr>
        <w:t>ały zachowaną wymaganą</w:t>
      </w:r>
      <w:r w:rsidR="00724D9C">
        <w:rPr>
          <w:color w:val="000000"/>
          <w:spacing w:val="-1"/>
          <w:szCs w:val="22"/>
        </w:rPr>
        <w:t xml:space="preserve"> mini</w:t>
      </w:r>
      <w:r w:rsidR="00152972">
        <w:rPr>
          <w:color w:val="000000"/>
          <w:spacing w:val="-1"/>
          <w:szCs w:val="22"/>
        </w:rPr>
        <w:t>malną odległość</w:t>
      </w:r>
      <w:r w:rsidR="00724D9C">
        <w:rPr>
          <w:color w:val="000000"/>
          <w:spacing w:val="-1"/>
          <w:szCs w:val="22"/>
        </w:rPr>
        <w:t xml:space="preserve"> najbardziej wystającej części bariery ochronnej od krawędzi pasa ruchu.</w:t>
      </w:r>
    </w:p>
    <w:p w:rsidR="00F0517B" w:rsidRDefault="009E0745" w:rsidP="0017025A">
      <w:pPr>
        <w:numPr>
          <w:ilvl w:val="0"/>
          <w:numId w:val="4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A817F8">
        <w:rPr>
          <w:color w:val="000000"/>
          <w:spacing w:val="-1"/>
          <w:szCs w:val="22"/>
        </w:rPr>
        <w:t>Bariery ochronne powin</w:t>
      </w:r>
      <w:r w:rsidR="00EE4608">
        <w:rPr>
          <w:color w:val="000000"/>
          <w:spacing w:val="-1"/>
          <w:szCs w:val="22"/>
        </w:rPr>
        <w:t>ny podlegać badaniom określonym</w:t>
      </w:r>
      <w:r w:rsidRPr="00A817F8">
        <w:rPr>
          <w:color w:val="000000"/>
          <w:spacing w:val="-1"/>
          <w:szCs w:val="22"/>
        </w:rPr>
        <w:t xml:space="preserve"> </w:t>
      </w:r>
      <w:r w:rsidR="00966648">
        <w:rPr>
          <w:color w:val="000000"/>
          <w:spacing w:val="-1"/>
          <w:szCs w:val="22"/>
        </w:rPr>
        <w:t>najnowszą</w:t>
      </w:r>
      <w:r w:rsidR="0087138D">
        <w:rPr>
          <w:color w:val="000000"/>
          <w:spacing w:val="-1"/>
          <w:szCs w:val="22"/>
        </w:rPr>
        <w:t xml:space="preserve"> wersją normy</w:t>
      </w:r>
      <w:r w:rsidRPr="00A817F8">
        <w:rPr>
          <w:color w:val="000000"/>
          <w:spacing w:val="-1"/>
          <w:szCs w:val="22"/>
        </w:rPr>
        <w:t xml:space="preserve"> PN-EN 1317-2</w:t>
      </w:r>
      <w:r w:rsidR="0087138D">
        <w:rPr>
          <w:color w:val="000000"/>
          <w:spacing w:val="-1"/>
          <w:szCs w:val="22"/>
        </w:rPr>
        <w:t xml:space="preserve"> i </w:t>
      </w:r>
      <w:r w:rsidRPr="00A817F8">
        <w:rPr>
          <w:color w:val="000000"/>
          <w:spacing w:val="-1"/>
          <w:szCs w:val="22"/>
        </w:rPr>
        <w:t>wykazywać własności kolizyjne zgodne z tą normą.</w:t>
      </w:r>
    </w:p>
    <w:p w:rsidR="009E0745" w:rsidRPr="00A817F8" w:rsidRDefault="00F0517B" w:rsidP="0017025A">
      <w:pPr>
        <w:numPr>
          <w:ilvl w:val="0"/>
          <w:numId w:val="4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color w:val="000000"/>
          <w:spacing w:val="-1"/>
          <w:szCs w:val="22"/>
        </w:rPr>
        <w:t xml:space="preserve">Parametry barier </w:t>
      </w:r>
      <w:r w:rsidR="005629B5">
        <w:rPr>
          <w:color w:val="000000"/>
          <w:spacing w:val="-1"/>
          <w:szCs w:val="22"/>
        </w:rPr>
        <w:t xml:space="preserve">ochronnych </w:t>
      </w:r>
      <w:r w:rsidR="004D1C2F">
        <w:rPr>
          <w:color w:val="000000"/>
          <w:spacing w:val="-1"/>
          <w:szCs w:val="22"/>
        </w:rPr>
        <w:t>należy</w:t>
      </w:r>
      <w:r w:rsidRPr="00A817F8">
        <w:rPr>
          <w:color w:val="000000"/>
          <w:spacing w:val="-1"/>
          <w:szCs w:val="22"/>
        </w:rPr>
        <w:t xml:space="preserve"> </w:t>
      </w:r>
      <w:r w:rsidR="004D1C2F">
        <w:rPr>
          <w:color w:val="000000"/>
          <w:spacing w:val="-1"/>
          <w:szCs w:val="22"/>
        </w:rPr>
        <w:t>dobrać</w:t>
      </w:r>
      <w:r w:rsidR="00A57F4B">
        <w:rPr>
          <w:color w:val="000000"/>
          <w:spacing w:val="-1"/>
          <w:szCs w:val="22"/>
        </w:rPr>
        <w:t xml:space="preserve"> zgod</w:t>
      </w:r>
      <w:bookmarkStart w:id="0" w:name="_GoBack"/>
      <w:bookmarkEnd w:id="0"/>
      <w:r w:rsidR="00A57F4B">
        <w:rPr>
          <w:color w:val="000000"/>
          <w:spacing w:val="-1"/>
          <w:szCs w:val="22"/>
        </w:rPr>
        <w:t xml:space="preserve">nie z </w:t>
      </w:r>
      <w:r w:rsidR="008B56B2">
        <w:rPr>
          <w:color w:val="000000"/>
          <w:spacing w:val="-1"/>
          <w:szCs w:val="22"/>
        </w:rPr>
        <w:t>procedurą opisaną w wytycznych</w:t>
      </w:r>
      <w:r w:rsidR="00A57F4B">
        <w:rPr>
          <w:color w:val="000000"/>
          <w:spacing w:val="-1"/>
          <w:szCs w:val="22"/>
        </w:rPr>
        <w:t xml:space="preserve"> projektowania odcinków dróg zamiejskich – część 3: wyposażenie techniczne</w:t>
      </w:r>
      <w:r w:rsidR="00DB6589">
        <w:rPr>
          <w:color w:val="000000"/>
          <w:spacing w:val="-1"/>
          <w:szCs w:val="22"/>
        </w:rPr>
        <w:t xml:space="preserve"> (WR-D-22-3)</w:t>
      </w:r>
      <w:r w:rsidR="00A57F4B">
        <w:rPr>
          <w:color w:val="000000"/>
          <w:spacing w:val="-1"/>
          <w:szCs w:val="22"/>
        </w:rPr>
        <w:t xml:space="preserve">. </w:t>
      </w:r>
      <w:r w:rsidR="00724D9C">
        <w:rPr>
          <w:color w:val="000000"/>
          <w:spacing w:val="-1"/>
          <w:szCs w:val="22"/>
        </w:rPr>
        <w:t>Parametry te winny</w:t>
      </w:r>
      <w:r w:rsidR="00A57F4B">
        <w:rPr>
          <w:color w:val="000000"/>
          <w:spacing w:val="-1"/>
          <w:szCs w:val="22"/>
        </w:rPr>
        <w:t xml:space="preserve"> być </w:t>
      </w:r>
      <w:r w:rsidR="00724D9C">
        <w:rPr>
          <w:color w:val="000000"/>
          <w:spacing w:val="-1"/>
          <w:szCs w:val="22"/>
        </w:rPr>
        <w:t>określone w </w:t>
      </w:r>
      <w:r>
        <w:rPr>
          <w:color w:val="000000"/>
          <w:spacing w:val="-1"/>
          <w:szCs w:val="22"/>
        </w:rPr>
        <w:t>projekcie budowlanym, wykonawczym, oraz projekcie stałej organizacji ruchu</w:t>
      </w:r>
      <w:r w:rsidRPr="00A817F8">
        <w:rPr>
          <w:color w:val="000000"/>
          <w:spacing w:val="-1"/>
          <w:szCs w:val="22"/>
        </w:rPr>
        <w:t>.</w:t>
      </w:r>
    </w:p>
    <w:p w:rsidR="009E0745" w:rsidRPr="00A817F8" w:rsidRDefault="009E0745" w:rsidP="0017025A">
      <w:pPr>
        <w:numPr>
          <w:ilvl w:val="0"/>
          <w:numId w:val="4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A817F8">
        <w:rPr>
          <w:rFonts w:cs="Arial"/>
          <w:bCs/>
          <w:iCs/>
          <w:szCs w:val="22"/>
        </w:rPr>
        <w:t>Na połączeniu barier drogowych z barie</w:t>
      </w:r>
      <w:r w:rsidR="00F0517B">
        <w:rPr>
          <w:rFonts w:cs="Arial"/>
          <w:bCs/>
          <w:iCs/>
          <w:szCs w:val="22"/>
        </w:rPr>
        <w:t>rami na obiektach inżynierskich typ i </w:t>
      </w:r>
      <w:r w:rsidRPr="00A817F8">
        <w:rPr>
          <w:rFonts w:cs="Arial"/>
          <w:bCs/>
          <w:iCs/>
          <w:szCs w:val="22"/>
        </w:rPr>
        <w:t>parametry barier</w:t>
      </w:r>
      <w:r w:rsidR="004A2D6D">
        <w:rPr>
          <w:rFonts w:cs="Arial"/>
          <w:bCs/>
          <w:iCs/>
          <w:szCs w:val="22"/>
        </w:rPr>
        <w:t xml:space="preserve"> drogowych należy dostosować do</w:t>
      </w:r>
      <w:r w:rsidRPr="00A817F8">
        <w:rPr>
          <w:rFonts w:cs="Arial"/>
          <w:bCs/>
          <w:iCs/>
          <w:szCs w:val="22"/>
        </w:rPr>
        <w:t xml:space="preserve"> parametrów barier na obiektach, w razie konieczności wprowadzić odcinek przejściowy.   </w:t>
      </w:r>
    </w:p>
    <w:p w:rsidR="009E0745" w:rsidRPr="003F4360" w:rsidRDefault="009E0745" w:rsidP="0017025A">
      <w:pPr>
        <w:numPr>
          <w:ilvl w:val="0"/>
          <w:numId w:val="4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A817F8">
        <w:rPr>
          <w:rFonts w:cs="Arial"/>
          <w:bCs/>
          <w:iCs/>
          <w:szCs w:val="22"/>
        </w:rPr>
        <w:t>W ce</w:t>
      </w:r>
      <w:r>
        <w:rPr>
          <w:rFonts w:cs="Arial"/>
          <w:bCs/>
          <w:iCs/>
          <w:szCs w:val="22"/>
        </w:rPr>
        <w:t>lu zabezpieczenia ruchu pieszego</w:t>
      </w:r>
      <w:r w:rsidRPr="00A817F8">
        <w:rPr>
          <w:rFonts w:cs="Arial"/>
          <w:bCs/>
          <w:iCs/>
          <w:szCs w:val="22"/>
        </w:rPr>
        <w:t>,  w miejscach określonych przepisami</w:t>
      </w:r>
      <w:r w:rsidR="00A57F4B">
        <w:rPr>
          <w:rFonts w:cs="Arial"/>
          <w:bCs/>
          <w:iCs/>
          <w:szCs w:val="22"/>
        </w:rPr>
        <w:t>,</w:t>
      </w:r>
      <w:r w:rsidRPr="00A817F8">
        <w:rPr>
          <w:rFonts w:cs="Arial"/>
          <w:bCs/>
          <w:iCs/>
          <w:szCs w:val="22"/>
        </w:rPr>
        <w:t xml:space="preserve">  należy przewidzieć balustrad</w:t>
      </w:r>
      <w:r w:rsidR="00CC7A3C">
        <w:rPr>
          <w:rFonts w:cs="Arial"/>
          <w:bCs/>
          <w:iCs/>
          <w:szCs w:val="22"/>
        </w:rPr>
        <w:t>y U-11a lub  poręcze.</w:t>
      </w:r>
    </w:p>
    <w:p w:rsidR="003F4360" w:rsidRPr="009E4060" w:rsidRDefault="003F4360" w:rsidP="0017025A">
      <w:pPr>
        <w:numPr>
          <w:ilvl w:val="0"/>
          <w:numId w:val="4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rFonts w:cs="Arial"/>
          <w:bCs/>
          <w:iCs/>
          <w:szCs w:val="22"/>
        </w:rPr>
        <w:t>Zastosowanie jakiegokolwiek rodzaju bariery ochronnej</w:t>
      </w:r>
      <w:r w:rsidR="006C2906">
        <w:rPr>
          <w:rFonts w:cs="Arial"/>
          <w:bCs/>
          <w:iCs/>
          <w:szCs w:val="22"/>
        </w:rPr>
        <w:t xml:space="preserve"> innej</w:t>
      </w:r>
      <w:r w:rsidR="003D5745">
        <w:rPr>
          <w:rFonts w:cs="Arial"/>
          <w:bCs/>
          <w:iCs/>
          <w:szCs w:val="22"/>
        </w:rPr>
        <w:t xml:space="preserve"> niż metalowa z </w:t>
      </w:r>
      <w:r>
        <w:rPr>
          <w:rFonts w:cs="Arial"/>
          <w:bCs/>
          <w:iCs/>
          <w:szCs w:val="22"/>
        </w:rPr>
        <w:t xml:space="preserve">prowadnicą o profilu „B”, wymaga każdorazowo uzyskania akceptacji Zamawiającego. </w:t>
      </w:r>
    </w:p>
    <w:p w:rsidR="009E4060" w:rsidRPr="00A817F8" w:rsidRDefault="009E4060" w:rsidP="0017025A">
      <w:pPr>
        <w:spacing w:line="240" w:lineRule="auto"/>
        <w:jc w:val="both"/>
        <w:rPr>
          <w:color w:val="000000"/>
          <w:spacing w:val="-1"/>
          <w:szCs w:val="22"/>
        </w:rPr>
      </w:pPr>
    </w:p>
    <w:p w:rsidR="009E0745" w:rsidRPr="00A817F8" w:rsidRDefault="007A57FE" w:rsidP="0017025A">
      <w:pPr>
        <w:pStyle w:val="Nagwek3"/>
        <w:spacing w:before="0" w:after="0" w:line="240" w:lineRule="auto"/>
        <w:ind w:left="0" w:firstLine="0"/>
        <w:rPr>
          <w:u w:val="single"/>
        </w:rPr>
      </w:pPr>
      <w:bookmarkStart w:id="1" w:name="_Toc422386866"/>
      <w:bookmarkStart w:id="2" w:name="_Toc422386973"/>
      <w:r>
        <w:rPr>
          <w:u w:val="single"/>
        </w:rPr>
        <w:t>Projekt</w:t>
      </w:r>
      <w:r w:rsidR="004E0C8E">
        <w:rPr>
          <w:u w:val="single"/>
        </w:rPr>
        <w:t>y</w:t>
      </w:r>
      <w:r>
        <w:rPr>
          <w:u w:val="single"/>
        </w:rPr>
        <w:t xml:space="preserve"> organizacji ruchu, o</w:t>
      </w:r>
      <w:r w:rsidR="009E0745" w:rsidRPr="00A817F8">
        <w:rPr>
          <w:u w:val="single"/>
        </w:rPr>
        <w:t>znakowanie pionowe i poziome</w:t>
      </w:r>
      <w:bookmarkEnd w:id="1"/>
      <w:bookmarkEnd w:id="2"/>
    </w:p>
    <w:p w:rsidR="009E0745" w:rsidRPr="00A817F8" w:rsidRDefault="009E0745" w:rsidP="0017025A">
      <w:pPr>
        <w:numPr>
          <w:ilvl w:val="0"/>
          <w:numId w:val="5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A817F8">
        <w:rPr>
          <w:color w:val="000000"/>
          <w:spacing w:val="-1"/>
          <w:szCs w:val="22"/>
        </w:rPr>
        <w:t>Wykonawca jest zobowiązany:</w:t>
      </w:r>
    </w:p>
    <w:p w:rsidR="009E0745" w:rsidRPr="00A817F8" w:rsidRDefault="009E0745" w:rsidP="0017025A">
      <w:pPr>
        <w:numPr>
          <w:ilvl w:val="0"/>
          <w:numId w:val="3"/>
        </w:numPr>
        <w:spacing w:line="240" w:lineRule="auto"/>
        <w:ind w:left="0" w:firstLine="0"/>
        <w:jc w:val="both"/>
        <w:rPr>
          <w:rFonts w:cs="Arial"/>
        </w:rPr>
      </w:pPr>
      <w:r w:rsidRPr="00A817F8">
        <w:rPr>
          <w:rFonts w:cs="Arial"/>
        </w:rPr>
        <w:t>wykonać projekt organizacji ruchu na czas prowadzonych robót;</w:t>
      </w:r>
    </w:p>
    <w:p w:rsidR="009E0745" w:rsidRPr="00A817F8" w:rsidRDefault="009E0745" w:rsidP="0017025A">
      <w:pPr>
        <w:numPr>
          <w:ilvl w:val="0"/>
          <w:numId w:val="3"/>
        </w:numPr>
        <w:spacing w:line="240" w:lineRule="auto"/>
        <w:ind w:left="0" w:firstLine="0"/>
        <w:jc w:val="both"/>
        <w:rPr>
          <w:rFonts w:cs="Arial"/>
        </w:rPr>
      </w:pPr>
      <w:r w:rsidRPr="00A817F8">
        <w:rPr>
          <w:rFonts w:cs="Arial"/>
        </w:rPr>
        <w:t xml:space="preserve">wykonać projekt </w:t>
      </w:r>
      <w:r w:rsidR="00F57048">
        <w:rPr>
          <w:rFonts w:cs="Arial"/>
        </w:rPr>
        <w:t>stałej</w:t>
      </w:r>
      <w:r w:rsidRPr="00A817F8">
        <w:rPr>
          <w:rFonts w:cs="Arial"/>
        </w:rPr>
        <w:t xml:space="preserve"> organizacji ruchu</w:t>
      </w:r>
      <w:r w:rsidR="005E1991">
        <w:rPr>
          <w:rFonts w:cs="Arial"/>
        </w:rPr>
        <w:t>. W przypadku budowy nowej drogi</w:t>
      </w:r>
      <w:r w:rsidRPr="00A817F8">
        <w:rPr>
          <w:rFonts w:cs="Arial"/>
        </w:rPr>
        <w:t xml:space="preserve"> </w:t>
      </w:r>
      <w:r w:rsidR="005E1991">
        <w:rPr>
          <w:rFonts w:cs="Arial"/>
        </w:rPr>
        <w:t>należy uwzględnić</w:t>
      </w:r>
      <w:r w:rsidRPr="00A817F8">
        <w:rPr>
          <w:rFonts w:cs="Arial"/>
        </w:rPr>
        <w:t xml:space="preserve"> zmiany oznakowania </w:t>
      </w:r>
      <w:r>
        <w:rPr>
          <w:rFonts w:cs="Arial"/>
        </w:rPr>
        <w:t>kierunkowego</w:t>
      </w:r>
      <w:r w:rsidR="00CE1433">
        <w:rPr>
          <w:rFonts w:cs="Arial"/>
        </w:rPr>
        <w:t xml:space="preserve"> oraz zmiany w słupkach kilometrażowych</w:t>
      </w:r>
      <w:r>
        <w:rPr>
          <w:rFonts w:cs="Arial"/>
        </w:rPr>
        <w:t xml:space="preserve"> </w:t>
      </w:r>
      <w:r w:rsidR="00CE1433">
        <w:rPr>
          <w:rFonts w:cs="Arial"/>
        </w:rPr>
        <w:t xml:space="preserve">(oraz ich opisie) </w:t>
      </w:r>
      <w:r w:rsidRPr="00A817F8">
        <w:rPr>
          <w:rFonts w:cs="Arial"/>
        </w:rPr>
        <w:t>n</w:t>
      </w:r>
      <w:r>
        <w:rPr>
          <w:rFonts w:cs="Arial"/>
        </w:rPr>
        <w:t>a istniejącym układzie drogowym dla odcinków dróg wojewódzkich</w:t>
      </w:r>
      <w:r w:rsidR="005E1991" w:rsidRPr="005E1991">
        <w:rPr>
          <w:rFonts w:cs="Arial"/>
        </w:rPr>
        <w:t xml:space="preserve"> </w:t>
      </w:r>
      <w:r w:rsidR="005E1991">
        <w:rPr>
          <w:rFonts w:cs="Arial"/>
        </w:rPr>
        <w:t>(i ich skrzyżowań z innymi drogami)</w:t>
      </w:r>
      <w:r>
        <w:rPr>
          <w:rFonts w:cs="Arial"/>
        </w:rPr>
        <w:t>, które</w:t>
      </w:r>
      <w:r w:rsidR="00152972">
        <w:rPr>
          <w:rFonts w:cs="Arial"/>
        </w:rPr>
        <w:t xml:space="preserve"> z mocy obowiązujących przepisów tracą status drogi wojewódzkiej</w:t>
      </w:r>
      <w:r w:rsidR="00CE1433">
        <w:rPr>
          <w:rFonts w:cs="Arial"/>
        </w:rPr>
        <w:t>, oraz na drogach wojewódzkich znajdujących się poza zakresem inwestycji</w:t>
      </w:r>
      <w:r w:rsidR="005E1991">
        <w:rPr>
          <w:rFonts w:cs="Arial"/>
        </w:rPr>
        <w:t>. W </w:t>
      </w:r>
      <w:r>
        <w:rPr>
          <w:rFonts w:cs="Arial"/>
        </w:rPr>
        <w:t xml:space="preserve">razie konieczności </w:t>
      </w:r>
      <w:r w:rsidR="005E1991">
        <w:rPr>
          <w:rFonts w:cs="Arial"/>
        </w:rPr>
        <w:t xml:space="preserve">zmiany te należy uwzględnić </w:t>
      </w:r>
      <w:r>
        <w:rPr>
          <w:rFonts w:cs="Arial"/>
        </w:rPr>
        <w:t>także na drogach innych kategorii celem zapewnienia właściwej informacji kierunkowej.</w:t>
      </w:r>
      <w:r w:rsidRPr="00A817F8">
        <w:rPr>
          <w:rFonts w:cs="Arial"/>
        </w:rPr>
        <w:t xml:space="preserve"> Zmiany wprowadzone w istniejącym ukła</w:t>
      </w:r>
      <w:r w:rsidR="000D356C">
        <w:rPr>
          <w:rFonts w:cs="Arial"/>
        </w:rPr>
        <w:t>dzie drogowym należy uzgodnić z </w:t>
      </w:r>
      <w:r w:rsidRPr="00A817F8">
        <w:rPr>
          <w:rFonts w:cs="Arial"/>
        </w:rPr>
        <w:t xml:space="preserve">właściwymi zarządcami dróg i zrealizować </w:t>
      </w:r>
      <w:r w:rsidR="00152972">
        <w:rPr>
          <w:rFonts w:cs="Arial"/>
        </w:rPr>
        <w:t xml:space="preserve">je </w:t>
      </w:r>
      <w:r w:rsidRPr="00A817F8">
        <w:rPr>
          <w:rFonts w:cs="Arial"/>
        </w:rPr>
        <w:t>w terenie.</w:t>
      </w:r>
    </w:p>
    <w:p w:rsidR="009E0745" w:rsidRPr="00A817F8" w:rsidRDefault="00F57048" w:rsidP="0017025A">
      <w:pPr>
        <w:numPr>
          <w:ilvl w:val="0"/>
          <w:numId w:val="5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color w:val="000000"/>
          <w:spacing w:val="-1"/>
          <w:szCs w:val="22"/>
        </w:rPr>
        <w:t>Projekt stałej organizacji ruchu musi być wykonany</w:t>
      </w:r>
      <w:r w:rsidR="009E0745" w:rsidRPr="00A817F8">
        <w:rPr>
          <w:color w:val="000000"/>
          <w:spacing w:val="-1"/>
          <w:szCs w:val="22"/>
        </w:rPr>
        <w:t xml:space="preserve"> zgodnie z za</w:t>
      </w:r>
      <w:r w:rsidR="00152972">
        <w:rPr>
          <w:color w:val="000000"/>
          <w:spacing w:val="-1"/>
          <w:szCs w:val="22"/>
        </w:rPr>
        <w:t>łączonymi</w:t>
      </w:r>
      <w:r w:rsidR="009E0745" w:rsidRPr="00A817F8">
        <w:rPr>
          <w:color w:val="000000"/>
          <w:spacing w:val="-1"/>
          <w:szCs w:val="22"/>
        </w:rPr>
        <w:t xml:space="preserve"> </w:t>
      </w:r>
      <w:r w:rsidR="002310B9">
        <w:rPr>
          <w:color w:val="000000"/>
          <w:spacing w:val="-1"/>
          <w:szCs w:val="22"/>
        </w:rPr>
        <w:t>„</w:t>
      </w:r>
      <w:r w:rsidR="009E0745" w:rsidRPr="00A817F8">
        <w:rPr>
          <w:color w:val="000000"/>
          <w:spacing w:val="-1"/>
          <w:szCs w:val="22"/>
        </w:rPr>
        <w:t>Specyfikacjami</w:t>
      </w:r>
      <w:r w:rsidR="00152972">
        <w:rPr>
          <w:color w:val="000000"/>
          <w:spacing w:val="-1"/>
          <w:szCs w:val="22"/>
        </w:rPr>
        <w:t xml:space="preserve"> Technicznymi</w:t>
      </w:r>
      <w:r w:rsidR="009E0745" w:rsidRPr="00A817F8">
        <w:rPr>
          <w:color w:val="000000"/>
          <w:spacing w:val="-1"/>
          <w:szCs w:val="22"/>
        </w:rPr>
        <w:t xml:space="preserve"> </w:t>
      </w:r>
      <w:r w:rsidR="00287FD2">
        <w:rPr>
          <w:color w:val="000000"/>
          <w:spacing w:val="-1"/>
          <w:szCs w:val="22"/>
        </w:rPr>
        <w:t>do projektów stałej organizacji ruchu dla dróg wojewódzkich, oraz</w:t>
      </w:r>
      <w:r w:rsidR="009E0745" w:rsidRPr="00A817F8">
        <w:rPr>
          <w:color w:val="000000"/>
          <w:spacing w:val="-1"/>
          <w:szCs w:val="22"/>
        </w:rPr>
        <w:t> obowiązującymi przepisami</w:t>
      </w:r>
      <w:r w:rsidR="002310B9">
        <w:rPr>
          <w:color w:val="000000"/>
          <w:spacing w:val="-1"/>
          <w:szCs w:val="22"/>
        </w:rPr>
        <w:t>”</w:t>
      </w:r>
      <w:r w:rsidR="00287FD2">
        <w:rPr>
          <w:color w:val="000000"/>
          <w:spacing w:val="-1"/>
          <w:szCs w:val="22"/>
        </w:rPr>
        <w:t>.</w:t>
      </w:r>
      <w:r w:rsidR="009E0745" w:rsidRPr="00A817F8">
        <w:rPr>
          <w:color w:val="000000"/>
          <w:spacing w:val="-1"/>
          <w:szCs w:val="22"/>
        </w:rPr>
        <w:t xml:space="preserve"> </w:t>
      </w:r>
      <w:r w:rsidR="00287FD2">
        <w:rPr>
          <w:color w:val="000000"/>
          <w:spacing w:val="-1"/>
          <w:szCs w:val="22"/>
        </w:rPr>
        <w:t>Projekty organizacji ruchu muszą być</w:t>
      </w:r>
      <w:r w:rsidR="009E0745" w:rsidRPr="00A817F8">
        <w:rPr>
          <w:color w:val="000000"/>
          <w:spacing w:val="-1"/>
          <w:szCs w:val="22"/>
        </w:rPr>
        <w:t xml:space="preserve"> zatwierdzone przez </w:t>
      </w:r>
      <w:r w:rsidR="004D7D98">
        <w:rPr>
          <w:color w:val="000000"/>
          <w:spacing w:val="-1"/>
          <w:szCs w:val="22"/>
        </w:rPr>
        <w:t>właściwy</w:t>
      </w:r>
      <w:r w:rsidR="00287FD2">
        <w:rPr>
          <w:color w:val="000000"/>
          <w:spacing w:val="-1"/>
          <w:szCs w:val="22"/>
        </w:rPr>
        <w:t xml:space="preserve"> o</w:t>
      </w:r>
      <w:r w:rsidR="009E0745">
        <w:rPr>
          <w:color w:val="000000"/>
          <w:spacing w:val="-1"/>
          <w:szCs w:val="22"/>
        </w:rPr>
        <w:t>rgan</w:t>
      </w:r>
      <w:r w:rsidR="00287FD2">
        <w:rPr>
          <w:color w:val="000000"/>
          <w:spacing w:val="-1"/>
          <w:szCs w:val="22"/>
        </w:rPr>
        <w:t xml:space="preserve"> z</w:t>
      </w:r>
      <w:r w:rsidR="009E0745">
        <w:rPr>
          <w:color w:val="000000"/>
          <w:spacing w:val="-1"/>
          <w:szCs w:val="22"/>
        </w:rPr>
        <w:t>arządzający</w:t>
      </w:r>
      <w:r w:rsidR="00287FD2">
        <w:rPr>
          <w:color w:val="000000"/>
          <w:spacing w:val="-1"/>
          <w:szCs w:val="22"/>
        </w:rPr>
        <w:t xml:space="preserve"> r</w:t>
      </w:r>
      <w:r w:rsidR="009E0745" w:rsidRPr="00A817F8">
        <w:rPr>
          <w:color w:val="000000"/>
          <w:spacing w:val="-1"/>
          <w:szCs w:val="22"/>
        </w:rPr>
        <w:t>uchem</w:t>
      </w:r>
      <w:r w:rsidR="00287FD2">
        <w:rPr>
          <w:color w:val="000000"/>
          <w:spacing w:val="-1"/>
          <w:szCs w:val="22"/>
        </w:rPr>
        <w:t xml:space="preserve"> na drodze</w:t>
      </w:r>
      <w:r w:rsidR="009E0745" w:rsidRPr="00A817F8">
        <w:rPr>
          <w:color w:val="000000"/>
          <w:spacing w:val="-1"/>
          <w:szCs w:val="22"/>
        </w:rPr>
        <w:t>.</w:t>
      </w:r>
      <w:r w:rsidR="006C2906">
        <w:rPr>
          <w:color w:val="000000"/>
          <w:spacing w:val="-1"/>
          <w:szCs w:val="22"/>
        </w:rPr>
        <w:t xml:space="preserve"> Jeżeli zatwierdzony projekt organizacji ruchu dotyczył odcinka drogi, który w chwili zatwierdzania nie był jeszcze wybudowany, Wykonawca winien uwzględnić zmiany zgłoszone przez Zamawiającego po jego wybudowaniu i uzyskać zatwierdzenie wprowadzonych zmian. </w:t>
      </w:r>
    </w:p>
    <w:p w:rsidR="009E0745" w:rsidRPr="00A817F8" w:rsidRDefault="009E0745" w:rsidP="0017025A">
      <w:pPr>
        <w:numPr>
          <w:ilvl w:val="0"/>
          <w:numId w:val="5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A817F8">
        <w:rPr>
          <w:b/>
          <w:color w:val="000000"/>
          <w:spacing w:val="-1"/>
          <w:szCs w:val="22"/>
        </w:rPr>
        <w:t>Wykonanie oznakowania pionowego na czas robót</w:t>
      </w:r>
      <w:r w:rsidRPr="00A817F8">
        <w:rPr>
          <w:color w:val="000000"/>
          <w:spacing w:val="-1"/>
          <w:szCs w:val="22"/>
        </w:rPr>
        <w:t xml:space="preserve"> obejmuje montaż oznakowania zgodnie z </w:t>
      </w:r>
      <w:r w:rsidR="00895DEB">
        <w:rPr>
          <w:color w:val="000000"/>
          <w:spacing w:val="-1"/>
          <w:szCs w:val="22"/>
        </w:rPr>
        <w:t xml:space="preserve">zatwierdzonym </w:t>
      </w:r>
      <w:r w:rsidRPr="00A817F8">
        <w:rPr>
          <w:color w:val="000000"/>
          <w:spacing w:val="-1"/>
          <w:szCs w:val="22"/>
        </w:rPr>
        <w:t>projektem</w:t>
      </w:r>
      <w:r w:rsidR="00895DEB">
        <w:rPr>
          <w:color w:val="000000"/>
          <w:spacing w:val="-1"/>
          <w:szCs w:val="22"/>
        </w:rPr>
        <w:t xml:space="preserve"> organizacji ruchu</w:t>
      </w:r>
      <w:r w:rsidRPr="00A817F8">
        <w:rPr>
          <w:color w:val="000000"/>
          <w:spacing w:val="-1"/>
          <w:szCs w:val="22"/>
        </w:rPr>
        <w:t xml:space="preserve">, </w:t>
      </w:r>
      <w:r w:rsidR="00895DEB">
        <w:rPr>
          <w:color w:val="000000"/>
          <w:spacing w:val="-1"/>
          <w:szCs w:val="22"/>
        </w:rPr>
        <w:t>a także utrzymanie oznakowania w </w:t>
      </w:r>
      <w:r w:rsidRPr="00A817F8">
        <w:rPr>
          <w:color w:val="000000"/>
          <w:spacing w:val="-1"/>
          <w:szCs w:val="22"/>
        </w:rPr>
        <w:t>czasie wykonania robót oraz jego demontaż po zakończeniu budowy.</w:t>
      </w:r>
    </w:p>
    <w:p w:rsidR="009E0745" w:rsidRPr="00A817F8" w:rsidRDefault="009E0745" w:rsidP="0017025A">
      <w:pPr>
        <w:numPr>
          <w:ilvl w:val="0"/>
          <w:numId w:val="5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A817F8">
        <w:rPr>
          <w:b/>
          <w:color w:val="000000"/>
          <w:spacing w:val="-1"/>
          <w:szCs w:val="22"/>
        </w:rPr>
        <w:t>Wykonanie docelowego oznakowania pionowego</w:t>
      </w:r>
      <w:r w:rsidRPr="00A817F8">
        <w:rPr>
          <w:color w:val="000000"/>
          <w:spacing w:val="-1"/>
          <w:szCs w:val="22"/>
        </w:rPr>
        <w:t xml:space="preserve"> obejmuje rozbiórkę istniejących znaków i tablic drogowych oraz montaż nowego oznakowania pionowego wg zatwierdzonego projektu </w:t>
      </w:r>
      <w:r w:rsidR="00895DEB">
        <w:rPr>
          <w:color w:val="000000"/>
          <w:spacing w:val="-1"/>
          <w:szCs w:val="22"/>
        </w:rPr>
        <w:t xml:space="preserve">organizacji ruchu </w:t>
      </w:r>
      <w:r w:rsidR="002310B9">
        <w:rPr>
          <w:color w:val="000000"/>
          <w:spacing w:val="-1"/>
          <w:szCs w:val="22"/>
        </w:rPr>
        <w:t>oraz „Specyfikacji T</w:t>
      </w:r>
      <w:r w:rsidRPr="00A817F8">
        <w:rPr>
          <w:color w:val="000000"/>
          <w:spacing w:val="-1"/>
          <w:szCs w:val="22"/>
        </w:rPr>
        <w:t>echnicznych wykonania oznakowania pionowego</w:t>
      </w:r>
      <w:r w:rsidR="002310B9">
        <w:rPr>
          <w:color w:val="000000"/>
          <w:spacing w:val="-1"/>
          <w:szCs w:val="22"/>
        </w:rPr>
        <w:t xml:space="preserve"> i urządzeń bezpieczeństwa ruchu drogowego</w:t>
      </w:r>
      <w:r w:rsidR="00CB13A8">
        <w:rPr>
          <w:color w:val="000000"/>
          <w:spacing w:val="-1"/>
          <w:szCs w:val="22"/>
        </w:rPr>
        <w:t>" (załącznik)</w:t>
      </w:r>
      <w:r w:rsidRPr="00A817F8">
        <w:rPr>
          <w:color w:val="000000"/>
          <w:spacing w:val="-1"/>
          <w:szCs w:val="22"/>
        </w:rPr>
        <w:t>.</w:t>
      </w:r>
      <w:r w:rsidRPr="00A817F8">
        <w:rPr>
          <w:rFonts w:cs="Arial"/>
        </w:rPr>
        <w:t xml:space="preserve"> Po oddaniu </w:t>
      </w:r>
      <w:r w:rsidR="00BC21EC">
        <w:rPr>
          <w:rFonts w:cs="Arial"/>
        </w:rPr>
        <w:t>drogi</w:t>
      </w:r>
      <w:r w:rsidRPr="00A817F8">
        <w:rPr>
          <w:rFonts w:cs="Arial"/>
        </w:rPr>
        <w:t xml:space="preserve"> do użytkowania </w:t>
      </w:r>
      <w:r w:rsidR="00287FD2">
        <w:rPr>
          <w:rFonts w:cs="Arial"/>
        </w:rPr>
        <w:t xml:space="preserve">należy </w:t>
      </w:r>
      <w:r w:rsidRPr="00A817F8">
        <w:rPr>
          <w:rFonts w:cs="Arial"/>
        </w:rPr>
        <w:t>wprowadzić zmiany oznakowania (tablice drogowskazowe i </w:t>
      </w:r>
      <w:proofErr w:type="spellStart"/>
      <w:r w:rsidRPr="00A817F8">
        <w:rPr>
          <w:rFonts w:cs="Arial"/>
        </w:rPr>
        <w:t>przeddrogowskazo</w:t>
      </w:r>
      <w:r w:rsidR="0061539E">
        <w:rPr>
          <w:rFonts w:cs="Arial"/>
        </w:rPr>
        <w:t>we</w:t>
      </w:r>
      <w:proofErr w:type="spellEnd"/>
      <w:r w:rsidR="0061539E">
        <w:rPr>
          <w:rFonts w:cs="Arial"/>
        </w:rPr>
        <w:t xml:space="preserve">) na sieci dróg istniejących </w:t>
      </w:r>
      <w:r w:rsidRPr="00A817F8">
        <w:rPr>
          <w:rFonts w:cs="Arial"/>
        </w:rPr>
        <w:t>- zgodnie z zatwierdzonym projektem</w:t>
      </w:r>
      <w:r w:rsidR="0061539E">
        <w:rPr>
          <w:rFonts w:cs="Arial"/>
        </w:rPr>
        <w:t>.</w:t>
      </w:r>
    </w:p>
    <w:p w:rsidR="005E1991" w:rsidRPr="005E1991" w:rsidRDefault="009E0745" w:rsidP="0017025A">
      <w:pPr>
        <w:numPr>
          <w:ilvl w:val="0"/>
          <w:numId w:val="5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A817F8">
        <w:rPr>
          <w:color w:val="000000"/>
          <w:spacing w:val="-1"/>
          <w:szCs w:val="22"/>
        </w:rPr>
        <w:lastRenderedPageBreak/>
        <w:t>Do montażu oznakowania w ramach oznakowania docelowego należy używać wyłącznie znaków nowych, nie dopuszcza się stosowania znaków i innych materiałów uprzednio zdemontowanych.</w:t>
      </w:r>
    </w:p>
    <w:p w:rsidR="009E0745" w:rsidRPr="00285E05" w:rsidRDefault="009E0745" w:rsidP="0017025A">
      <w:pPr>
        <w:numPr>
          <w:ilvl w:val="0"/>
          <w:numId w:val="5"/>
        </w:numPr>
        <w:spacing w:line="240" w:lineRule="auto"/>
        <w:ind w:left="0" w:firstLine="0"/>
        <w:jc w:val="both"/>
        <w:rPr>
          <w:strike/>
          <w:color w:val="000000"/>
          <w:spacing w:val="-1"/>
          <w:szCs w:val="22"/>
        </w:rPr>
      </w:pPr>
      <w:r w:rsidRPr="00A817F8">
        <w:rPr>
          <w:color w:val="000000"/>
          <w:spacing w:val="-1"/>
          <w:szCs w:val="22"/>
          <w:u w:val="single"/>
        </w:rPr>
        <w:t>Oznakowanie pionowe</w:t>
      </w:r>
      <w:r w:rsidR="00E952DD">
        <w:rPr>
          <w:color w:val="000000"/>
          <w:spacing w:val="-1"/>
          <w:szCs w:val="22"/>
        </w:rPr>
        <w:t xml:space="preserve"> należy wykonać zgodnie z przepisami rozporządzenia </w:t>
      </w:r>
      <w:r w:rsidRPr="00A817F8">
        <w:rPr>
          <w:color w:val="000000"/>
          <w:spacing w:val="-1"/>
          <w:szCs w:val="22"/>
        </w:rPr>
        <w:t xml:space="preserve"> </w:t>
      </w:r>
      <w:r w:rsidR="00E952DD">
        <w:rPr>
          <w:rFonts w:cs="Tahoma"/>
        </w:rPr>
        <w:t xml:space="preserve">Ministra Infrastruktury z dnia 3 lipca 2003 roku w sprawie szczegółowych </w:t>
      </w:r>
      <w:r w:rsidR="00E952DD">
        <w:rPr>
          <w:color w:val="000000"/>
          <w:spacing w:val="-1"/>
          <w:szCs w:val="22"/>
        </w:rPr>
        <w:t>warunków technicznych</w:t>
      </w:r>
      <w:r w:rsidRPr="00A817F8">
        <w:rPr>
          <w:color w:val="000000"/>
          <w:spacing w:val="-1"/>
          <w:szCs w:val="22"/>
        </w:rPr>
        <w:t xml:space="preserve"> dla znaków i sygnałów drogowych oraz urządzeń bezpieczeństwa ruchu drogowego i warunk</w:t>
      </w:r>
      <w:r w:rsidR="00E952DD">
        <w:rPr>
          <w:color w:val="000000"/>
          <w:spacing w:val="-1"/>
          <w:szCs w:val="22"/>
        </w:rPr>
        <w:t>ami ich umieszczania na drogach</w:t>
      </w:r>
      <w:r w:rsidRPr="00A817F8">
        <w:rPr>
          <w:color w:val="000000"/>
          <w:spacing w:val="-1"/>
          <w:szCs w:val="22"/>
        </w:rPr>
        <w:t xml:space="preserve">  </w:t>
      </w:r>
      <w:r w:rsidR="00E952DD">
        <w:rPr>
          <w:rFonts w:cs="Tahoma"/>
        </w:rPr>
        <w:t>(</w:t>
      </w:r>
      <w:proofErr w:type="spellStart"/>
      <w:r w:rsidR="00E952DD">
        <w:rPr>
          <w:rFonts w:cs="Tahoma"/>
        </w:rPr>
        <w:t>t.j</w:t>
      </w:r>
      <w:proofErr w:type="spellEnd"/>
      <w:r w:rsidR="00E952DD">
        <w:rPr>
          <w:rFonts w:cs="Tahoma"/>
        </w:rPr>
        <w:t xml:space="preserve">. Dz. U. z 2019 r., poz. 2311 ze zmianami), </w:t>
      </w:r>
      <w:r w:rsidRPr="00A817F8">
        <w:rPr>
          <w:color w:val="000000"/>
          <w:spacing w:val="-1"/>
          <w:szCs w:val="22"/>
        </w:rPr>
        <w:t>o</w:t>
      </w:r>
      <w:r w:rsidR="00BC21EC">
        <w:rPr>
          <w:color w:val="000000"/>
          <w:spacing w:val="-1"/>
          <w:szCs w:val="22"/>
        </w:rPr>
        <w:t xml:space="preserve">raz </w:t>
      </w:r>
      <w:r w:rsidR="002310B9">
        <w:rPr>
          <w:color w:val="000000"/>
          <w:spacing w:val="-1"/>
          <w:szCs w:val="22"/>
        </w:rPr>
        <w:t>Specyfikacjami Technicznymi</w:t>
      </w:r>
      <w:r w:rsidR="002310B9" w:rsidRPr="00A817F8">
        <w:rPr>
          <w:color w:val="000000"/>
          <w:spacing w:val="-1"/>
          <w:szCs w:val="22"/>
        </w:rPr>
        <w:t xml:space="preserve"> wykonania oznakowania pionowego</w:t>
      </w:r>
      <w:r w:rsidR="002310B9">
        <w:rPr>
          <w:color w:val="000000"/>
          <w:spacing w:val="-1"/>
          <w:szCs w:val="22"/>
        </w:rPr>
        <w:t xml:space="preserve"> i urządzeń bezpieczeństwa ruchu drogowego.</w:t>
      </w:r>
    </w:p>
    <w:p w:rsidR="00285E05" w:rsidRPr="001F66F0" w:rsidRDefault="009E0745" w:rsidP="0017025A">
      <w:pPr>
        <w:pStyle w:val="Akapitzlist"/>
        <w:numPr>
          <w:ilvl w:val="0"/>
          <w:numId w:val="5"/>
        </w:numPr>
        <w:tabs>
          <w:tab w:val="left" w:pos="357"/>
        </w:tabs>
        <w:spacing w:line="240" w:lineRule="auto"/>
        <w:ind w:left="0" w:firstLine="0"/>
        <w:jc w:val="both"/>
        <w:rPr>
          <w:rFonts w:cs="Arial"/>
        </w:rPr>
      </w:pPr>
      <w:r w:rsidRPr="001F66F0">
        <w:rPr>
          <w:rFonts w:cs="Arial"/>
        </w:rPr>
        <w:t xml:space="preserve">Słupki do znaków </w:t>
      </w:r>
      <w:r w:rsidR="00580E3B" w:rsidRPr="001F66F0">
        <w:rPr>
          <w:rFonts w:cs="Arial"/>
        </w:rPr>
        <w:t xml:space="preserve">należy wykonać </w:t>
      </w:r>
      <w:r w:rsidRPr="001F66F0">
        <w:rPr>
          <w:rFonts w:cs="Arial"/>
        </w:rPr>
        <w:t>z rur stalowy</w:t>
      </w:r>
      <w:r w:rsidR="00FA2724" w:rsidRPr="001F66F0">
        <w:rPr>
          <w:rFonts w:cs="Arial"/>
        </w:rPr>
        <w:t xml:space="preserve">ch ocynkowanych Ø 60,3 mm </w:t>
      </w:r>
      <w:r w:rsidRPr="001F66F0">
        <w:rPr>
          <w:rFonts w:cs="Arial"/>
        </w:rPr>
        <w:t>z kotwą uniemożliwiającą jego obr</w:t>
      </w:r>
      <w:r w:rsidR="001F66F0" w:rsidRPr="001F66F0">
        <w:rPr>
          <w:rFonts w:cs="Arial"/>
        </w:rPr>
        <w:t>ócenie, grubość ścianki min. 3</w:t>
      </w:r>
      <w:r w:rsidRPr="001F66F0">
        <w:rPr>
          <w:rFonts w:cs="Arial"/>
        </w:rPr>
        <w:t xml:space="preserve"> mm.</w:t>
      </w:r>
    </w:p>
    <w:p w:rsidR="00C10330" w:rsidRPr="005071FC" w:rsidRDefault="00C10330" w:rsidP="0017025A">
      <w:pPr>
        <w:pStyle w:val="Akapitzlist"/>
        <w:numPr>
          <w:ilvl w:val="0"/>
          <w:numId w:val="5"/>
        </w:numPr>
        <w:spacing w:line="240" w:lineRule="auto"/>
        <w:ind w:left="0" w:firstLine="0"/>
        <w:jc w:val="both"/>
        <w:rPr>
          <w:rFonts w:cs="Arial"/>
          <w:b/>
          <w:spacing w:val="-3"/>
        </w:rPr>
      </w:pPr>
      <w:r w:rsidRPr="001817C4">
        <w:rPr>
          <w:rFonts w:cs="Arial"/>
        </w:rPr>
        <w:t xml:space="preserve">Konstrukcje wsporcze dla znaków pionowych i urządzeń bezpieczeństwa ruchu muszą spełniać </w:t>
      </w:r>
      <w:r w:rsidR="00736FCE" w:rsidRPr="001817C4">
        <w:rPr>
          <w:rFonts w:cs="Arial"/>
        </w:rPr>
        <w:t>przepisy</w:t>
      </w:r>
      <w:r w:rsidR="00736FCE" w:rsidRPr="001817C4">
        <w:rPr>
          <w:color w:val="000000"/>
          <w:spacing w:val="-1"/>
          <w:szCs w:val="22"/>
        </w:rPr>
        <w:t xml:space="preserve"> Rozporządzenia Ministra Infrastruktury w sprawie przepisów techniczno-budowlanych dotyczących dróg publicznych</w:t>
      </w:r>
      <w:r w:rsidR="00736FCE" w:rsidRPr="001817C4">
        <w:rPr>
          <w:rFonts w:cs="Arial"/>
        </w:rPr>
        <w:t xml:space="preserve"> </w:t>
      </w:r>
      <w:r w:rsidR="001817C4">
        <w:rPr>
          <w:rFonts w:cs="Arial"/>
        </w:rPr>
        <w:t>najnowszej</w:t>
      </w:r>
      <w:r w:rsidR="001817C4" w:rsidRPr="001817C4">
        <w:rPr>
          <w:rFonts w:cs="Arial"/>
        </w:rPr>
        <w:t xml:space="preserve"> wersji normy PN-EN 12767</w:t>
      </w:r>
      <w:r w:rsidRPr="001817C4">
        <w:rPr>
          <w:rFonts w:cs="Arial"/>
        </w:rPr>
        <w:t xml:space="preserve"> „Bierne bezpieczeństwo konstrukcji wsporczych dla u</w:t>
      </w:r>
      <w:r w:rsidR="001817C4" w:rsidRPr="001817C4">
        <w:rPr>
          <w:rFonts w:cs="Arial"/>
        </w:rPr>
        <w:t>rządzeń drogowych – Wymagania i </w:t>
      </w:r>
      <w:r w:rsidRPr="001817C4">
        <w:rPr>
          <w:rFonts w:cs="Arial"/>
        </w:rPr>
        <w:t>metody badań”. Konstrukcje ws</w:t>
      </w:r>
      <w:r w:rsidR="00486BD5">
        <w:rPr>
          <w:rFonts w:cs="Arial"/>
        </w:rPr>
        <w:t>porcze należy wykonać zgodnie z </w:t>
      </w:r>
      <w:r w:rsidRPr="001817C4">
        <w:rPr>
          <w:rFonts w:cs="Arial"/>
        </w:rPr>
        <w:t>do</w:t>
      </w:r>
      <w:r w:rsidR="00736FCE" w:rsidRPr="001817C4">
        <w:rPr>
          <w:rFonts w:cs="Arial"/>
        </w:rPr>
        <w:t>kumentacją projektową i ST, a w </w:t>
      </w:r>
      <w:r w:rsidRPr="001817C4">
        <w:rPr>
          <w:rFonts w:cs="Arial"/>
        </w:rPr>
        <w:t>przypadku braku wys</w:t>
      </w:r>
      <w:r w:rsidR="00486BD5">
        <w:rPr>
          <w:rFonts w:cs="Arial"/>
        </w:rPr>
        <w:t>tarczających ustaleń, zgodnie z </w:t>
      </w:r>
      <w:r w:rsidRPr="001817C4">
        <w:rPr>
          <w:rFonts w:cs="Arial"/>
        </w:rPr>
        <w:t>propozycją Wykonawcy zaakceptowaną przez Zamawiającego. Nie dopuszcza się stosowania konstrukcji wsporczych klasy „0”</w:t>
      </w:r>
      <w:r w:rsidR="00C04A4C" w:rsidRPr="001817C4">
        <w:rPr>
          <w:rFonts w:cs="Arial"/>
        </w:rPr>
        <w:t xml:space="preserve">, </w:t>
      </w:r>
      <w:r w:rsidR="00C04A4C" w:rsidRPr="001817C4">
        <w:rPr>
          <w:color w:val="000000"/>
          <w:spacing w:val="-1"/>
          <w:szCs w:val="22"/>
        </w:rPr>
        <w:t>chyba że Zamawiający wyrazi zgodę na zastosowanie takich konstrukcji wsporczych</w:t>
      </w:r>
      <w:r w:rsidRPr="001817C4">
        <w:rPr>
          <w:rFonts w:cs="Arial"/>
        </w:rPr>
        <w:t>. Konstrukcje wsporcze powinny</w:t>
      </w:r>
      <w:r w:rsidR="001817C4" w:rsidRPr="001817C4">
        <w:rPr>
          <w:rFonts w:cs="Arial"/>
        </w:rPr>
        <w:t xml:space="preserve"> posiadać aprobaty techniczne i </w:t>
      </w:r>
      <w:r w:rsidRPr="001817C4">
        <w:rPr>
          <w:rFonts w:cs="Arial"/>
        </w:rPr>
        <w:t xml:space="preserve">certyfikaty potwierdzające zgodność z Polską Normą dotyczącą </w:t>
      </w:r>
      <w:r w:rsidRPr="005071FC">
        <w:rPr>
          <w:rFonts w:cs="Arial"/>
        </w:rPr>
        <w:t>bezpieczeństwa konstrukcji wsporczych.</w:t>
      </w:r>
    </w:p>
    <w:p w:rsidR="00580E3B" w:rsidRPr="005071FC" w:rsidRDefault="00486BD5" w:rsidP="0017025A">
      <w:pPr>
        <w:pStyle w:val="Akapitzlist"/>
        <w:numPr>
          <w:ilvl w:val="0"/>
          <w:numId w:val="5"/>
        </w:numPr>
        <w:tabs>
          <w:tab w:val="left" w:pos="357"/>
        </w:tabs>
        <w:spacing w:line="240" w:lineRule="auto"/>
        <w:ind w:left="0" w:firstLine="0"/>
        <w:jc w:val="both"/>
        <w:rPr>
          <w:rFonts w:cs="Arial"/>
        </w:rPr>
      </w:pPr>
      <w:r>
        <w:rPr>
          <w:rFonts w:cs="Arial"/>
        </w:rPr>
        <w:t>S</w:t>
      </w:r>
      <w:r w:rsidR="00580E3B" w:rsidRPr="005071FC">
        <w:rPr>
          <w:rFonts w:cs="Arial"/>
        </w:rPr>
        <w:t>łupki hektometrowe U-1a należy</w:t>
      </w:r>
      <w:r w:rsidR="00C90B9C" w:rsidRPr="005071FC">
        <w:rPr>
          <w:rFonts w:cs="Arial"/>
        </w:rPr>
        <w:t xml:space="preserve"> montować jako słupki uchylne</w:t>
      </w:r>
      <w:r>
        <w:rPr>
          <w:rFonts w:cs="Arial"/>
        </w:rPr>
        <w:t xml:space="preserve">. Stosowanie słupków innego rodzaju </w:t>
      </w:r>
      <w:r>
        <w:rPr>
          <w:rFonts w:cs="Arial"/>
          <w:bCs/>
          <w:iCs/>
          <w:szCs w:val="22"/>
        </w:rPr>
        <w:t>wymaga każdorazowo uzyskania akceptacji Zamawiającego.</w:t>
      </w:r>
    </w:p>
    <w:p w:rsidR="009E0745" w:rsidRPr="00C22656" w:rsidRDefault="009E0745" w:rsidP="0017025A">
      <w:pPr>
        <w:numPr>
          <w:ilvl w:val="0"/>
          <w:numId w:val="5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131FF8">
        <w:rPr>
          <w:color w:val="000000"/>
          <w:spacing w:val="-1"/>
          <w:szCs w:val="22"/>
          <w:u w:val="single"/>
        </w:rPr>
        <w:t>Oznakowanie poziome</w:t>
      </w:r>
      <w:r w:rsidRPr="00131FF8">
        <w:rPr>
          <w:color w:val="000000"/>
          <w:spacing w:val="-1"/>
          <w:szCs w:val="22"/>
        </w:rPr>
        <w:t xml:space="preserve"> należy wykonać jako grubowarstwowe chemoutwardzalne (linie oznakowania poziomego mają być gładkie w osi a strukturalne na krawędzi jezdni). Wykonanie tego oznakowania winno być zgodne z wymogami zawartymi w</w:t>
      </w:r>
      <w:r w:rsidR="009A2E07" w:rsidRPr="00131FF8">
        <w:rPr>
          <w:color w:val="000000"/>
          <w:spacing w:val="-1"/>
          <w:szCs w:val="22"/>
        </w:rPr>
        <w:t xml:space="preserve"> załączniku do </w:t>
      </w:r>
      <w:r w:rsidRPr="00131FF8">
        <w:rPr>
          <w:color w:val="000000"/>
          <w:spacing w:val="-1"/>
          <w:szCs w:val="22"/>
        </w:rPr>
        <w:t xml:space="preserve"> </w:t>
      </w:r>
      <w:r w:rsidR="009A2E07" w:rsidRPr="00131FF8">
        <w:rPr>
          <w:rFonts w:cs="Tahoma"/>
        </w:rPr>
        <w:t>rozporządzenia Ministra Infrastruktury z dnia 3 lipca 2003 roku w sprawie szczegółowych warunków technicznych dla znaków i sygnałów drogowych oraz urządzeń bezpieczeństwa ruchu drogowego i warunków ich umieszczania na drogach (</w:t>
      </w:r>
      <w:proofErr w:type="spellStart"/>
      <w:r w:rsidR="009A2E07" w:rsidRPr="00131FF8">
        <w:rPr>
          <w:rFonts w:cs="Tahoma"/>
        </w:rPr>
        <w:t>t.j</w:t>
      </w:r>
      <w:proofErr w:type="spellEnd"/>
      <w:r w:rsidR="009A2E07" w:rsidRPr="00131FF8">
        <w:rPr>
          <w:rFonts w:cs="Tahoma"/>
        </w:rPr>
        <w:t xml:space="preserve">. Dz. U. z </w:t>
      </w:r>
      <w:r w:rsidR="005071FC" w:rsidRPr="00131FF8">
        <w:rPr>
          <w:rFonts w:cs="Tahoma"/>
        </w:rPr>
        <w:t>2019 r., poz. 2311 ze zmianami),</w:t>
      </w:r>
      <w:r w:rsidRPr="00131FF8">
        <w:rPr>
          <w:color w:val="000000"/>
          <w:spacing w:val="-1"/>
          <w:szCs w:val="22"/>
        </w:rPr>
        <w:t xml:space="preserve"> oraz „Specyfikacjami technicznymi wykonania i odbioru oznakowania </w:t>
      </w:r>
      <w:r w:rsidR="00886F4C">
        <w:rPr>
          <w:color w:val="000000"/>
          <w:spacing w:val="-1"/>
          <w:szCs w:val="22"/>
        </w:rPr>
        <w:t>poziomego" (załącznik</w:t>
      </w:r>
      <w:r w:rsidRPr="00C22656">
        <w:rPr>
          <w:color w:val="000000"/>
          <w:spacing w:val="-1"/>
          <w:szCs w:val="22"/>
        </w:rPr>
        <w:t>).</w:t>
      </w:r>
    </w:p>
    <w:p w:rsidR="00FB0BC3" w:rsidRPr="00C22656" w:rsidRDefault="00FB0BC3" w:rsidP="00736FCE">
      <w:pPr>
        <w:pStyle w:val="Akapitzlist"/>
        <w:numPr>
          <w:ilvl w:val="0"/>
          <w:numId w:val="5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C22656">
        <w:rPr>
          <w:color w:val="000000"/>
          <w:spacing w:val="-1"/>
          <w:szCs w:val="22"/>
        </w:rPr>
        <w:t>W projekcie docelowej organizacji ruchu i przy wykonywaniu oznakowania poziomego należy przewidzieć zastosowanie punktowych elem</w:t>
      </w:r>
      <w:r w:rsidR="004A2D6D" w:rsidRPr="00C22656">
        <w:rPr>
          <w:color w:val="000000"/>
          <w:spacing w:val="-1"/>
          <w:szCs w:val="22"/>
        </w:rPr>
        <w:t>entów odblaskowych</w:t>
      </w:r>
      <w:r w:rsidR="00A132DD" w:rsidRPr="00C22656">
        <w:rPr>
          <w:color w:val="000000"/>
          <w:spacing w:val="-1"/>
          <w:szCs w:val="22"/>
        </w:rPr>
        <w:t xml:space="preserve"> </w:t>
      </w:r>
      <w:r w:rsidR="004A2D6D" w:rsidRPr="00C22656">
        <w:rPr>
          <w:color w:val="000000"/>
          <w:spacing w:val="-1"/>
          <w:szCs w:val="22"/>
        </w:rPr>
        <w:t>(</w:t>
      </w:r>
      <w:r w:rsidR="00EE4608" w:rsidRPr="00C22656">
        <w:rPr>
          <w:color w:val="000000"/>
          <w:spacing w:val="-1"/>
          <w:szCs w:val="22"/>
        </w:rPr>
        <w:t xml:space="preserve">odpowiednio barwy białej, </w:t>
      </w:r>
      <w:r w:rsidRPr="00C22656">
        <w:rPr>
          <w:color w:val="000000"/>
          <w:spacing w:val="-1"/>
          <w:szCs w:val="22"/>
        </w:rPr>
        <w:t>czerwonej</w:t>
      </w:r>
      <w:r w:rsidR="00EE4608" w:rsidRPr="00C22656">
        <w:rPr>
          <w:color w:val="000000"/>
          <w:spacing w:val="-1"/>
          <w:szCs w:val="22"/>
        </w:rPr>
        <w:t xml:space="preserve"> lub biało-czerwonej</w:t>
      </w:r>
      <w:r w:rsidR="004A2D6D" w:rsidRPr="00C22656">
        <w:rPr>
          <w:color w:val="000000"/>
          <w:spacing w:val="-1"/>
          <w:szCs w:val="22"/>
        </w:rPr>
        <w:t>)</w:t>
      </w:r>
      <w:r w:rsidR="003F0BB6">
        <w:rPr>
          <w:color w:val="000000"/>
          <w:spacing w:val="-1"/>
          <w:szCs w:val="22"/>
        </w:rPr>
        <w:t>. Jako zasadę należy przyjąć ich montaż</w:t>
      </w:r>
      <w:r w:rsidRPr="00C22656">
        <w:rPr>
          <w:color w:val="000000"/>
          <w:spacing w:val="-1"/>
          <w:szCs w:val="22"/>
        </w:rPr>
        <w:t xml:space="preserve"> na </w:t>
      </w:r>
      <w:r w:rsidR="003F0BB6">
        <w:rPr>
          <w:color w:val="000000"/>
          <w:spacing w:val="-1"/>
          <w:szCs w:val="22"/>
        </w:rPr>
        <w:t>rondach i </w:t>
      </w:r>
      <w:r w:rsidR="00A132DD" w:rsidRPr="00C22656">
        <w:rPr>
          <w:color w:val="000000"/>
          <w:spacing w:val="-1"/>
          <w:szCs w:val="22"/>
        </w:rPr>
        <w:t xml:space="preserve">skrzyżowaniach skanalizowanych, a także na odcinkach drogi </w:t>
      </w:r>
      <w:r w:rsidR="00C42C27" w:rsidRPr="00C22656">
        <w:rPr>
          <w:color w:val="000000"/>
          <w:spacing w:val="-1"/>
          <w:szCs w:val="22"/>
        </w:rPr>
        <w:t>nieoświetlonych, oraz</w:t>
      </w:r>
      <w:r w:rsidR="003F0BB6">
        <w:rPr>
          <w:color w:val="000000"/>
          <w:spacing w:val="-1"/>
          <w:szCs w:val="22"/>
        </w:rPr>
        <w:t xml:space="preserve"> w </w:t>
      </w:r>
      <w:r w:rsidR="00A132DD" w:rsidRPr="00C22656">
        <w:rPr>
          <w:color w:val="000000"/>
          <w:spacing w:val="-1"/>
          <w:szCs w:val="22"/>
        </w:rPr>
        <w:t>miejscach niebezpiecznych</w:t>
      </w:r>
      <w:r w:rsidRPr="00C22656">
        <w:rPr>
          <w:color w:val="000000"/>
          <w:spacing w:val="-1"/>
          <w:szCs w:val="22"/>
        </w:rPr>
        <w:t xml:space="preserve">. </w:t>
      </w:r>
      <w:r w:rsidR="003F0BB6">
        <w:rPr>
          <w:color w:val="000000"/>
          <w:spacing w:val="-1"/>
          <w:szCs w:val="22"/>
        </w:rPr>
        <w:t>W przypadkach, gdy montowane są one w jezdni, należy</w:t>
      </w:r>
      <w:r w:rsidR="00EE4608" w:rsidRPr="00C22656">
        <w:rPr>
          <w:color w:val="000000"/>
          <w:spacing w:val="-1"/>
          <w:szCs w:val="22"/>
        </w:rPr>
        <w:t xml:space="preserve"> zastosować punktowe elementy odblaskowe </w:t>
      </w:r>
      <w:r w:rsidR="003F0BB6">
        <w:rPr>
          <w:color w:val="000000"/>
          <w:spacing w:val="-1"/>
          <w:szCs w:val="22"/>
        </w:rPr>
        <w:t>montowane w nawierzchni w kolebkach (</w:t>
      </w:r>
      <w:proofErr w:type="spellStart"/>
      <w:r w:rsidR="003F0BB6">
        <w:rPr>
          <w:color w:val="000000"/>
          <w:spacing w:val="-1"/>
          <w:szCs w:val="22"/>
        </w:rPr>
        <w:t>pługoodporne</w:t>
      </w:r>
      <w:proofErr w:type="spellEnd"/>
      <w:r w:rsidR="003F0BB6">
        <w:rPr>
          <w:color w:val="000000"/>
          <w:spacing w:val="-1"/>
          <w:szCs w:val="22"/>
        </w:rPr>
        <w:t>).</w:t>
      </w:r>
      <w:r w:rsidR="003F0BB6" w:rsidRPr="003F0BB6">
        <w:rPr>
          <w:rFonts w:cs="Arial"/>
        </w:rPr>
        <w:t xml:space="preserve"> </w:t>
      </w:r>
      <w:r w:rsidR="003F0BB6">
        <w:rPr>
          <w:rFonts w:cs="Arial"/>
        </w:rPr>
        <w:t xml:space="preserve">Stosowanie punktowych elementów odblaskowych innego rodzaju w nawierzchni jezdni </w:t>
      </w:r>
      <w:r w:rsidR="003F0BB6">
        <w:rPr>
          <w:rFonts w:cs="Arial"/>
          <w:bCs/>
          <w:iCs/>
          <w:szCs w:val="22"/>
        </w:rPr>
        <w:t>wymaga każdorazowo uzyskania akceptacji Zamawiającego.</w:t>
      </w:r>
    </w:p>
    <w:p w:rsidR="009E0745" w:rsidRDefault="009E0745" w:rsidP="00736FCE">
      <w:pPr>
        <w:numPr>
          <w:ilvl w:val="0"/>
          <w:numId w:val="5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color w:val="000000"/>
          <w:spacing w:val="-1"/>
          <w:szCs w:val="22"/>
        </w:rPr>
        <w:t>Należy zaprojektow</w:t>
      </w:r>
      <w:r w:rsidR="000D356C">
        <w:rPr>
          <w:color w:val="000000"/>
          <w:spacing w:val="-1"/>
          <w:szCs w:val="22"/>
        </w:rPr>
        <w:t>ać i wprowadzić nową organizację</w:t>
      </w:r>
      <w:r>
        <w:rPr>
          <w:color w:val="000000"/>
          <w:spacing w:val="-1"/>
          <w:szCs w:val="22"/>
        </w:rPr>
        <w:t xml:space="preserve"> ruchu na istniejących </w:t>
      </w:r>
      <w:r w:rsidR="003F0BB6">
        <w:rPr>
          <w:color w:val="000000"/>
          <w:spacing w:val="-1"/>
          <w:szCs w:val="22"/>
        </w:rPr>
        <w:t>odcinkach dróg</w:t>
      </w:r>
      <w:r>
        <w:rPr>
          <w:color w:val="000000"/>
          <w:spacing w:val="-1"/>
          <w:szCs w:val="22"/>
        </w:rPr>
        <w:t xml:space="preserve"> </w:t>
      </w:r>
      <w:r w:rsidR="003F0BB6">
        <w:rPr>
          <w:color w:val="000000"/>
          <w:spacing w:val="-1"/>
          <w:szCs w:val="22"/>
        </w:rPr>
        <w:t xml:space="preserve">wojewódzkich </w:t>
      </w:r>
      <w:r>
        <w:rPr>
          <w:color w:val="000000"/>
          <w:spacing w:val="-1"/>
          <w:szCs w:val="22"/>
        </w:rPr>
        <w:t>w przypadku zmiany przebiegu nowobudowanej drogi</w:t>
      </w:r>
      <w:r w:rsidR="0061539E">
        <w:rPr>
          <w:color w:val="000000"/>
          <w:spacing w:val="-1"/>
          <w:szCs w:val="22"/>
        </w:rPr>
        <w:t>.</w:t>
      </w:r>
    </w:p>
    <w:p w:rsidR="009E4060" w:rsidRDefault="009E4060" w:rsidP="0017025A">
      <w:pPr>
        <w:spacing w:line="240" w:lineRule="auto"/>
        <w:jc w:val="both"/>
        <w:rPr>
          <w:color w:val="000000"/>
          <w:spacing w:val="-1"/>
          <w:szCs w:val="22"/>
        </w:rPr>
      </w:pPr>
    </w:p>
    <w:p w:rsidR="00CC7A3C" w:rsidRPr="00603CC7" w:rsidRDefault="00CC7A3C" w:rsidP="0017025A">
      <w:pPr>
        <w:pStyle w:val="Nagwek3"/>
        <w:spacing w:before="0" w:after="0" w:line="240" w:lineRule="auto"/>
        <w:ind w:left="0" w:firstLine="0"/>
        <w:rPr>
          <w:u w:val="single"/>
        </w:rPr>
      </w:pPr>
      <w:r>
        <w:rPr>
          <w:u w:val="single"/>
        </w:rPr>
        <w:t>Sygnalizacja świetlna</w:t>
      </w:r>
      <w:r w:rsidR="00F57048">
        <w:rPr>
          <w:u w:val="single"/>
        </w:rPr>
        <w:t xml:space="preserve"> tymczasowa</w:t>
      </w:r>
    </w:p>
    <w:p w:rsidR="00704B0C" w:rsidRDefault="00620112" w:rsidP="00704B0C">
      <w:pPr>
        <w:pStyle w:val="Akapitzlist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color w:val="000000"/>
          <w:spacing w:val="-1"/>
          <w:szCs w:val="22"/>
        </w:rPr>
        <w:t>Każda zastosowan</w:t>
      </w:r>
      <w:r w:rsidR="003A7C29">
        <w:rPr>
          <w:color w:val="000000"/>
          <w:spacing w:val="-1"/>
          <w:szCs w:val="22"/>
        </w:rPr>
        <w:t xml:space="preserve">a </w:t>
      </w:r>
      <w:r>
        <w:rPr>
          <w:color w:val="000000"/>
          <w:spacing w:val="-1"/>
          <w:szCs w:val="22"/>
        </w:rPr>
        <w:t>w ramach tymczasowej organizacji ruchu sygnalizacja świetlna musi być akomodacyjna, chyba że Zamawiający wyrazi zgodę na zastosow</w:t>
      </w:r>
      <w:r w:rsidR="0061539E">
        <w:rPr>
          <w:color w:val="000000"/>
          <w:spacing w:val="-1"/>
          <w:szCs w:val="22"/>
        </w:rPr>
        <w:t xml:space="preserve">anie sygnalizacji </w:t>
      </w:r>
      <w:proofErr w:type="spellStart"/>
      <w:r w:rsidR="0061539E">
        <w:rPr>
          <w:color w:val="000000"/>
          <w:spacing w:val="-1"/>
          <w:szCs w:val="22"/>
        </w:rPr>
        <w:t>stałoczasowej</w:t>
      </w:r>
      <w:proofErr w:type="spellEnd"/>
      <w:r w:rsidR="0061539E">
        <w:rPr>
          <w:color w:val="000000"/>
          <w:spacing w:val="-1"/>
          <w:szCs w:val="22"/>
        </w:rPr>
        <w:t>.</w:t>
      </w:r>
    </w:p>
    <w:p w:rsidR="00704B0C" w:rsidRPr="00704B0C" w:rsidRDefault="00704B0C" w:rsidP="00704B0C">
      <w:pPr>
        <w:pStyle w:val="Akapitzlist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704B0C">
        <w:rPr>
          <w:color w:val="000000"/>
          <w:spacing w:val="-1"/>
          <w:szCs w:val="22"/>
        </w:rPr>
        <w:t>Sygnalizacja musi bez przerwy mieć zapewnione zasilanie prądem przez cały okres, gdy za jej pomocą kierowany jest ruch na drodze, jeżeli jest taka możliwość należy zapewnić stałe źródło zasilania sygnalizacji. W przypadku przerwy w zasilaniu sygnalizacji, Wykonawca musi natychmiast wprowadzić ręczne kierowanie ruchem, do czasu gdy zasilanie prądem sygnalizacji zostanie przywrócone.</w:t>
      </w:r>
    </w:p>
    <w:p w:rsidR="00704B0C" w:rsidRDefault="00FB2CB3" w:rsidP="00704B0C">
      <w:pPr>
        <w:pStyle w:val="Akapitzlist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color w:val="000000"/>
          <w:spacing w:val="-1"/>
          <w:szCs w:val="22"/>
        </w:rPr>
        <w:lastRenderedPageBreak/>
        <w:t xml:space="preserve">Nie dopuszcza się pozostawienia jakiegokolwiek </w:t>
      </w:r>
      <w:r w:rsidR="00D64D66">
        <w:rPr>
          <w:color w:val="000000"/>
          <w:spacing w:val="-1"/>
          <w:szCs w:val="22"/>
        </w:rPr>
        <w:t xml:space="preserve">wlotu drogi lub zjazdu, </w:t>
      </w:r>
      <w:proofErr w:type="spellStart"/>
      <w:r>
        <w:rPr>
          <w:color w:val="000000"/>
          <w:spacing w:val="-1"/>
          <w:szCs w:val="22"/>
        </w:rPr>
        <w:t>nieosygnalizowanego</w:t>
      </w:r>
      <w:proofErr w:type="spellEnd"/>
      <w:r>
        <w:rPr>
          <w:color w:val="000000"/>
          <w:spacing w:val="-1"/>
          <w:szCs w:val="22"/>
        </w:rPr>
        <w:t xml:space="preserve"> lub nie zamkniętego (n</w:t>
      </w:r>
      <w:r w:rsidR="00D64D66">
        <w:rPr>
          <w:color w:val="000000"/>
          <w:spacing w:val="-1"/>
          <w:szCs w:val="22"/>
        </w:rPr>
        <w:t>a czas działania sygnalizacji),</w:t>
      </w:r>
      <w:r w:rsidR="005C1126">
        <w:rPr>
          <w:color w:val="000000"/>
          <w:spacing w:val="-1"/>
          <w:szCs w:val="22"/>
        </w:rPr>
        <w:t xml:space="preserve"> </w:t>
      </w:r>
      <w:r w:rsidR="00D64D66">
        <w:rPr>
          <w:color w:val="000000"/>
          <w:spacing w:val="-1"/>
          <w:szCs w:val="22"/>
        </w:rPr>
        <w:t xml:space="preserve">zlokalizowanego </w:t>
      </w:r>
      <w:r w:rsidR="005C1126">
        <w:rPr>
          <w:color w:val="000000"/>
          <w:spacing w:val="-1"/>
          <w:szCs w:val="22"/>
        </w:rPr>
        <w:t>pomiędzy projektowanymi liniami zatrzymań P-14.</w:t>
      </w:r>
      <w:r w:rsidR="000D7AC5">
        <w:rPr>
          <w:color w:val="000000"/>
          <w:spacing w:val="-1"/>
          <w:szCs w:val="22"/>
        </w:rPr>
        <w:t xml:space="preserve"> Wszelkie koszty związane z </w:t>
      </w:r>
      <w:proofErr w:type="spellStart"/>
      <w:r w:rsidR="004221AB">
        <w:rPr>
          <w:color w:val="000000"/>
          <w:spacing w:val="-1"/>
          <w:szCs w:val="22"/>
        </w:rPr>
        <w:t>osygnalizowaniem</w:t>
      </w:r>
      <w:proofErr w:type="spellEnd"/>
      <w:r w:rsidR="004221AB">
        <w:rPr>
          <w:color w:val="000000"/>
          <w:spacing w:val="-1"/>
          <w:szCs w:val="22"/>
        </w:rPr>
        <w:t xml:space="preserve"> lub zamknięciem, takiego wlotu drogi lub zjazdu, ponosi Wykonawca.</w:t>
      </w:r>
    </w:p>
    <w:p w:rsidR="00704B0C" w:rsidRPr="00704B0C" w:rsidRDefault="00704B0C" w:rsidP="00704B0C">
      <w:pPr>
        <w:pStyle w:val="Akapitzlist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 w:rsidRPr="00704B0C">
        <w:rPr>
          <w:rFonts w:cs="Arial"/>
          <w:szCs w:val="20"/>
        </w:rPr>
        <w:t>Maszty z sygnalizatorami świetlnymi nie mogą być przestawianie lub obracane przez cały okres gdy ruch kierowany jest sygnalizacją, jeżeli jest taka możliwość należy je na stałe przytwierdzić do gruntu. W przypadku przestawienia lub obrócenia sygnalizatora świetlnego, Wykonawca winien natychmiast wprowadzić kierowanie ręczne ruchem, do czasu ustawienia sygnalizatora zgodnie z zatwierdzonym projektem organizacji ruchu.</w:t>
      </w:r>
    </w:p>
    <w:p w:rsidR="003A7C29" w:rsidRPr="003A7C29" w:rsidRDefault="00B97D6D" w:rsidP="0017025A">
      <w:pPr>
        <w:pStyle w:val="Akapitzlist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rFonts w:cs="Arial"/>
          <w:szCs w:val="20"/>
        </w:rPr>
        <w:t>U</w:t>
      </w:r>
      <w:r w:rsidR="003A7C29" w:rsidRPr="003A7C29">
        <w:rPr>
          <w:rFonts w:cs="Arial"/>
          <w:szCs w:val="20"/>
        </w:rPr>
        <w:t xml:space="preserve">rządzenie sterujące </w:t>
      </w:r>
      <w:r>
        <w:rPr>
          <w:rFonts w:cs="Arial"/>
          <w:szCs w:val="20"/>
        </w:rPr>
        <w:t xml:space="preserve">sygnalizacją </w:t>
      </w:r>
      <w:r w:rsidR="003A7C29" w:rsidRPr="003A7C29">
        <w:rPr>
          <w:rFonts w:cs="Arial"/>
          <w:szCs w:val="20"/>
        </w:rPr>
        <w:t>powinno posiadać kontrolę wszystkich źródeł światła w każdej grupie, mieć możliwość automatycznej, (sterowanej zegarem) zmiany programów czasowych, posiadać układ wykrywania kolizji, a w przypadku wykrycia jakiejkolwiek nieprawidłowości w funkcjonowaniu sygnalizacji wyłączać rów</w:t>
      </w:r>
      <w:r w:rsidR="0061539E">
        <w:rPr>
          <w:rFonts w:cs="Arial"/>
          <w:szCs w:val="20"/>
        </w:rPr>
        <w:t>nolegle wszystkie sygnalizatory.</w:t>
      </w:r>
    </w:p>
    <w:p w:rsidR="003A7C29" w:rsidRPr="003A7C29" w:rsidRDefault="00581764" w:rsidP="0017025A">
      <w:pPr>
        <w:pStyle w:val="Akapitzlist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rFonts w:cs="Arial"/>
          <w:szCs w:val="20"/>
        </w:rPr>
        <w:t>J</w:t>
      </w:r>
      <w:r w:rsidR="003A7C29" w:rsidRPr="003A7C29">
        <w:rPr>
          <w:rFonts w:cs="Arial"/>
          <w:szCs w:val="20"/>
        </w:rPr>
        <w:t>ako źródło światła stosować wkłady typu „LED” w</w:t>
      </w:r>
      <w:r>
        <w:rPr>
          <w:rFonts w:cs="Arial"/>
          <w:szCs w:val="20"/>
        </w:rPr>
        <w:t xml:space="preserve"> każdej komorze sygnalizatora o </w:t>
      </w:r>
      <w:r w:rsidR="0061539E">
        <w:rPr>
          <w:rFonts w:cs="Arial"/>
          <w:szCs w:val="20"/>
        </w:rPr>
        <w:t>średnicy 300 mm.</w:t>
      </w:r>
    </w:p>
    <w:p w:rsidR="003A7C29" w:rsidRPr="0061539E" w:rsidRDefault="008A3CE1" w:rsidP="0017025A">
      <w:pPr>
        <w:pStyle w:val="Akapitzlist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rFonts w:cs="Arial"/>
          <w:szCs w:val="20"/>
        </w:rPr>
        <w:t>W</w:t>
      </w:r>
      <w:r w:rsidR="003A7C29" w:rsidRPr="003A7C29">
        <w:rPr>
          <w:rFonts w:cs="Arial"/>
          <w:szCs w:val="20"/>
        </w:rPr>
        <w:t xml:space="preserve"> przypadku zastosowania sygnalizacji zasilanej z sieci 230V </w:t>
      </w:r>
      <w:r w:rsidR="00581764">
        <w:rPr>
          <w:rFonts w:cs="Arial"/>
          <w:szCs w:val="20"/>
        </w:rPr>
        <w:t xml:space="preserve">Wykonawca winien </w:t>
      </w:r>
      <w:r w:rsidR="003A7C29" w:rsidRPr="003A7C29">
        <w:rPr>
          <w:rFonts w:cs="Arial"/>
          <w:szCs w:val="20"/>
        </w:rPr>
        <w:t xml:space="preserve">wykonać dodatkową ochronę przeciwporażeniową w postaci „szybkiego wyłączenia” zrealizowanego przy pomocy zabezpieczeń </w:t>
      </w:r>
      <w:r w:rsidR="003A7C29" w:rsidRPr="00AB753F">
        <w:rPr>
          <w:rFonts w:cs="Arial"/>
          <w:szCs w:val="20"/>
        </w:rPr>
        <w:t>nadprądowych</w:t>
      </w:r>
      <w:r w:rsidR="003A7C29" w:rsidRPr="003A7C29">
        <w:rPr>
          <w:rFonts w:cs="Arial"/>
          <w:szCs w:val="20"/>
        </w:rPr>
        <w:t xml:space="preserve">. Powyższe </w:t>
      </w:r>
      <w:r w:rsidR="00AB753F">
        <w:rPr>
          <w:rFonts w:cs="Arial"/>
          <w:szCs w:val="20"/>
        </w:rPr>
        <w:t xml:space="preserve">należy </w:t>
      </w:r>
      <w:r w:rsidR="003A7C29" w:rsidRPr="003A7C29">
        <w:rPr>
          <w:rFonts w:cs="Arial"/>
          <w:szCs w:val="20"/>
        </w:rPr>
        <w:t>wykonać pod nadzorem osoby uprawnionej a przed załączeniem sygnalizacji do pracy wykonać pomiary kontrolne zastosowanej ochrony.</w:t>
      </w:r>
    </w:p>
    <w:p w:rsidR="0061539E" w:rsidRPr="009E4060" w:rsidRDefault="0061539E" w:rsidP="0017025A">
      <w:pPr>
        <w:pStyle w:val="Akapitzlist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rFonts w:cs="Arial"/>
          <w:szCs w:val="20"/>
        </w:rPr>
        <w:t>W przypadku ingerencji w istniejącą sygnalizację świetlną, Wykonawca zobowiązany jest do przywrócenia naruszonej infrastruktury do stanu pierwotnego.</w:t>
      </w:r>
    </w:p>
    <w:p w:rsidR="003A7C29" w:rsidRPr="003A7C29" w:rsidRDefault="003A7C29" w:rsidP="0017025A">
      <w:pPr>
        <w:pStyle w:val="Akapitzlist"/>
        <w:spacing w:line="240" w:lineRule="auto"/>
        <w:ind w:left="0"/>
        <w:jc w:val="both"/>
        <w:rPr>
          <w:color w:val="000000"/>
          <w:spacing w:val="-1"/>
          <w:szCs w:val="22"/>
        </w:rPr>
      </w:pPr>
    </w:p>
    <w:p w:rsidR="00DC78EA" w:rsidRPr="00EE4608" w:rsidRDefault="00DC78EA" w:rsidP="0017025A">
      <w:pPr>
        <w:pStyle w:val="Nagwek3A"/>
        <w:spacing w:before="0" w:after="0" w:line="240" w:lineRule="auto"/>
        <w:rPr>
          <w:u w:val="single"/>
        </w:rPr>
      </w:pPr>
      <w:bookmarkStart w:id="3" w:name="_Toc422386974"/>
      <w:bookmarkStart w:id="4" w:name="_Toc422386867"/>
      <w:r w:rsidRPr="00EE4608">
        <w:rPr>
          <w:u w:val="single"/>
        </w:rPr>
        <w:t>Oświetlenie</w:t>
      </w:r>
      <w:bookmarkEnd w:id="3"/>
      <w:bookmarkEnd w:id="4"/>
    </w:p>
    <w:p w:rsidR="000D7AC5" w:rsidRPr="000D7AC5" w:rsidRDefault="000D7AC5" w:rsidP="000D7AC5">
      <w:pPr>
        <w:numPr>
          <w:ilvl w:val="0"/>
          <w:numId w:val="11"/>
        </w:numPr>
        <w:spacing w:line="240" w:lineRule="auto"/>
        <w:ind w:left="0" w:firstLine="0"/>
        <w:jc w:val="both"/>
        <w:rPr>
          <w:spacing w:val="-1"/>
        </w:rPr>
      </w:pPr>
      <w:r>
        <w:rPr>
          <w:color w:val="000000"/>
          <w:spacing w:val="-1"/>
        </w:rPr>
        <w:t>Oświetlenie</w:t>
      </w:r>
      <w:r>
        <w:t xml:space="preserve"> należy zaprojektować i wykonać   zgodnie z obowiązującymi przepisami, w szczególności z </w:t>
      </w:r>
      <w:r>
        <w:rPr>
          <w:color w:val="000000"/>
          <w:spacing w:val="-1"/>
        </w:rPr>
        <w:t xml:space="preserve">Rozporządzeniem Ministra Infrastruktury w sprawie przepisów techniczno-budowlanych </w:t>
      </w:r>
      <w:r>
        <w:rPr>
          <w:spacing w:val="-1"/>
        </w:rPr>
        <w:t>dotyczących dróg publicznych,</w:t>
      </w:r>
      <w:r w:rsidRPr="000D7AC5">
        <w:t xml:space="preserve"> </w:t>
      </w:r>
      <w:r w:rsidR="003C5243">
        <w:t>najnowszą</w:t>
      </w:r>
      <w:r>
        <w:t xml:space="preserve"> wersją normy</w:t>
      </w:r>
      <w:r w:rsidRPr="000D7AC5">
        <w:t xml:space="preserve"> PN </w:t>
      </w:r>
      <w:r w:rsidRPr="000D7AC5">
        <w:rPr>
          <w:rFonts w:ascii="Symbol" w:hAnsi="Symbol"/>
        </w:rPr>
        <w:t></w:t>
      </w:r>
      <w:r>
        <w:t> EN 13201</w:t>
      </w:r>
      <w:r w:rsidRPr="000D7AC5">
        <w:t xml:space="preserve"> „Oświetlenie dróg”</w:t>
      </w:r>
      <w:r>
        <w:t xml:space="preserve">, oraz </w:t>
      </w:r>
      <w:r w:rsidR="0073137A">
        <w:t>obowiązującymi</w:t>
      </w:r>
      <w:r w:rsidRPr="000D7AC5">
        <w:rPr>
          <w:spacing w:val="-1"/>
        </w:rPr>
        <w:t xml:space="preserve"> </w:t>
      </w:r>
      <w:r w:rsidR="00F32041">
        <w:rPr>
          <w:spacing w:val="-1"/>
        </w:rPr>
        <w:t>wytycznymi projektowania urządzeń do oświetlania dróg zamiejskich i ulic – część 1: wymagania podstawowe i szczegółowe (WR-D-72-1).</w:t>
      </w:r>
    </w:p>
    <w:p w:rsidR="000D7AC5" w:rsidRPr="000D7AC5" w:rsidRDefault="000D7AC5" w:rsidP="000D7AC5">
      <w:pPr>
        <w:numPr>
          <w:ilvl w:val="0"/>
          <w:numId w:val="11"/>
        </w:numPr>
        <w:spacing w:line="240" w:lineRule="auto"/>
        <w:ind w:left="0" w:firstLine="0"/>
        <w:jc w:val="both"/>
        <w:rPr>
          <w:spacing w:val="-1"/>
        </w:rPr>
      </w:pPr>
      <w:r>
        <w:rPr>
          <w:color w:val="000000"/>
          <w:spacing w:val="-1"/>
        </w:rPr>
        <w:t xml:space="preserve">Oświetlenie przejść dla pieszych i przejazdów dla rowerzystów należy zaprojektować zgodnie z „Wytycznymi do projektowania oświetlenia przejść dla pieszych” umieszczonymi na stronie internetowej </w:t>
      </w:r>
      <w:hyperlink r:id="rId8" w:history="1">
        <w:r>
          <w:rPr>
            <w:rStyle w:val="Hipercze"/>
            <w:spacing w:val="-1"/>
          </w:rPr>
          <w:t>www.zdw.krakow.pl</w:t>
        </w:r>
      </w:hyperlink>
      <w:r w:rsidR="008419EC">
        <w:rPr>
          <w:color w:val="000000"/>
          <w:spacing w:val="-1"/>
        </w:rPr>
        <w:t>,</w:t>
      </w:r>
      <w:r>
        <w:rPr>
          <w:color w:val="1F497D"/>
          <w:spacing w:val="-1"/>
        </w:rPr>
        <w:t xml:space="preserve"> </w:t>
      </w:r>
      <w:r w:rsidR="008419EC">
        <w:rPr>
          <w:spacing w:val="-1"/>
        </w:rPr>
        <w:t>oraz</w:t>
      </w:r>
      <w:r w:rsidR="006321CD">
        <w:rPr>
          <w:spacing w:val="-1"/>
        </w:rPr>
        <w:t xml:space="preserve"> w oparciu o </w:t>
      </w:r>
      <w:r w:rsidR="0073137A">
        <w:rPr>
          <w:spacing w:val="-1"/>
        </w:rPr>
        <w:t xml:space="preserve">obowiązujące </w:t>
      </w:r>
      <w:r w:rsidR="006321CD">
        <w:rPr>
          <w:spacing w:val="-1"/>
        </w:rPr>
        <w:t>wytyczne projektowania infra</w:t>
      </w:r>
      <w:r w:rsidR="0073137A">
        <w:rPr>
          <w:spacing w:val="-1"/>
        </w:rPr>
        <w:t>struktury dla pieszych – część 4</w:t>
      </w:r>
      <w:r w:rsidR="006321CD">
        <w:rPr>
          <w:spacing w:val="-1"/>
        </w:rPr>
        <w:t>: projektowanie</w:t>
      </w:r>
      <w:r w:rsidR="0073137A">
        <w:rPr>
          <w:spacing w:val="-1"/>
        </w:rPr>
        <w:t xml:space="preserve"> oświetlenia przejść dla pieszych (WR-D-41-4</w:t>
      </w:r>
      <w:r w:rsidR="006321CD">
        <w:rPr>
          <w:spacing w:val="-1"/>
        </w:rPr>
        <w:t>).</w:t>
      </w:r>
      <w:r w:rsidR="008419EC">
        <w:rPr>
          <w:spacing w:val="-1"/>
        </w:rPr>
        <w:t xml:space="preserve"> W przypadku rozbieżności między powyższymi wytycznymi, pierwszeństwo mają zasady sformułowane w wytycznych ZDW Kraków. </w:t>
      </w:r>
    </w:p>
    <w:p w:rsidR="000D7AC5" w:rsidRDefault="000D7AC5" w:rsidP="000D7AC5">
      <w:pPr>
        <w:numPr>
          <w:ilvl w:val="0"/>
          <w:numId w:val="11"/>
        </w:numPr>
        <w:spacing w:line="240" w:lineRule="auto"/>
        <w:ind w:left="0" w:firstLine="0"/>
        <w:jc w:val="both"/>
        <w:rPr>
          <w:spacing w:val="-1"/>
        </w:rPr>
      </w:pPr>
      <w:r w:rsidRPr="000D7AC5">
        <w:rPr>
          <w:spacing w:val="-1"/>
        </w:rPr>
        <w:t xml:space="preserve">Oświetlenie dróg i skrzyżowań należy zaprojektować i wykonać jako oświetlenie </w:t>
      </w:r>
      <w:r w:rsidR="003F41EE">
        <w:rPr>
          <w:spacing w:val="-1"/>
        </w:rPr>
        <w:t>z </w:t>
      </w:r>
      <w:r w:rsidRPr="000D7AC5">
        <w:rPr>
          <w:spacing w:val="-1"/>
        </w:rPr>
        <w:t>wykorzystaniem technologii LED</w:t>
      </w:r>
      <w:r w:rsidR="003F41EE">
        <w:rPr>
          <w:spacing w:val="-1"/>
        </w:rPr>
        <w:t>.</w:t>
      </w:r>
    </w:p>
    <w:p w:rsidR="00252EF7" w:rsidRPr="000D7AC5" w:rsidRDefault="00252EF7" w:rsidP="000D7AC5">
      <w:pPr>
        <w:numPr>
          <w:ilvl w:val="0"/>
          <w:numId w:val="11"/>
        </w:numPr>
        <w:spacing w:line="240" w:lineRule="auto"/>
        <w:ind w:left="0" w:firstLine="0"/>
        <w:jc w:val="both"/>
        <w:rPr>
          <w:spacing w:val="-1"/>
        </w:rPr>
      </w:pPr>
      <w:r>
        <w:rPr>
          <w:spacing w:val="-1"/>
        </w:rPr>
        <w:t>Należy przewidzieć oświetlenie wszystkich przejść dla pieszych i przejazdów dla rowerzystów w obrębie inwestycji, także w poprzek wlotów podporządkowanych. Sugerowane miejsce przekraczania jezdni także winny być doświetlone.</w:t>
      </w:r>
    </w:p>
    <w:p w:rsidR="000D7AC5" w:rsidRPr="000D7AC5" w:rsidRDefault="000D7AC5" w:rsidP="000D7AC5">
      <w:pPr>
        <w:numPr>
          <w:ilvl w:val="0"/>
          <w:numId w:val="11"/>
        </w:numPr>
        <w:spacing w:line="240" w:lineRule="auto"/>
        <w:ind w:left="0" w:firstLine="0"/>
        <w:jc w:val="both"/>
        <w:rPr>
          <w:spacing w:val="-1"/>
        </w:rPr>
      </w:pPr>
      <w:r w:rsidRPr="000D7AC5">
        <w:t> Słupy oświetleniowe należy lokalizować poza chodnikiem, a linie kablowe poza chodnikiem i jezdnią. W przypadkach przekraczania drogi pod chodnikiem i jezdnią należy stosować rury ochronne.</w:t>
      </w:r>
    </w:p>
    <w:p w:rsidR="000D7AC5" w:rsidRPr="000D7AC5" w:rsidRDefault="000D7AC5" w:rsidP="000D7AC5">
      <w:pPr>
        <w:numPr>
          <w:ilvl w:val="0"/>
          <w:numId w:val="11"/>
        </w:numPr>
        <w:spacing w:line="240" w:lineRule="auto"/>
        <w:ind w:left="0" w:firstLine="0"/>
        <w:jc w:val="both"/>
        <w:rPr>
          <w:spacing w:val="-1"/>
        </w:rPr>
      </w:pPr>
      <w:r w:rsidRPr="000D7AC5">
        <w:t>Po wykonaniu oświetlenia wykonawca jest zobowiązany do wykonania odrębnej inwentaryzacji powykonawczej oświetlenia drogi w co najmniej 3 egzemplarzach (w celu przekazania oświetlenia gminie), jak również do przygotowania dokumentów niezbędnych do zawarcia umów przyłączeniowych oraz  pozyskania informacji o możliwości zawarcia umowy o świadczenie usług dystrybucji energii elektrycznej.</w:t>
      </w:r>
    </w:p>
    <w:p w:rsidR="0028711B" w:rsidRDefault="0028711B" w:rsidP="0028711B">
      <w:pPr>
        <w:spacing w:line="240" w:lineRule="auto"/>
        <w:jc w:val="both"/>
        <w:rPr>
          <w:rFonts w:cs="Arial"/>
          <w:bCs/>
          <w:szCs w:val="22"/>
        </w:rPr>
      </w:pPr>
    </w:p>
    <w:p w:rsidR="00873541" w:rsidRPr="00EE4608" w:rsidRDefault="003F41EE" w:rsidP="00873541">
      <w:pPr>
        <w:pStyle w:val="Nagwek3A"/>
        <w:spacing w:before="0" w:after="0" w:line="240" w:lineRule="auto"/>
        <w:rPr>
          <w:u w:val="single"/>
        </w:rPr>
      </w:pPr>
      <w:r>
        <w:rPr>
          <w:u w:val="single"/>
        </w:rPr>
        <w:lastRenderedPageBreak/>
        <w:t>Przejezdność</w:t>
      </w:r>
    </w:p>
    <w:p w:rsidR="00873541" w:rsidRPr="008428F1" w:rsidRDefault="00E3515E" w:rsidP="00873541">
      <w:pPr>
        <w:numPr>
          <w:ilvl w:val="0"/>
          <w:numId w:val="13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color w:val="000000"/>
          <w:spacing w:val="-1"/>
          <w:szCs w:val="22"/>
        </w:rPr>
        <w:t>Geometria drogi i skrzyżowań musi być tak zaprojektowana, by zapewniała p</w:t>
      </w:r>
      <w:r w:rsidR="00F957FB">
        <w:rPr>
          <w:color w:val="000000"/>
          <w:spacing w:val="-1"/>
          <w:szCs w:val="22"/>
        </w:rPr>
        <w:t xml:space="preserve">rzejezdność dla pojazdu miarodajnego, określonego </w:t>
      </w:r>
      <w:r w:rsidR="0025333F">
        <w:rPr>
          <w:color w:val="000000"/>
          <w:spacing w:val="-1"/>
          <w:szCs w:val="22"/>
        </w:rPr>
        <w:t>według</w:t>
      </w:r>
      <w:r w:rsidR="00F957FB">
        <w:rPr>
          <w:color w:val="000000"/>
          <w:spacing w:val="-1"/>
          <w:szCs w:val="22"/>
        </w:rPr>
        <w:t xml:space="preserve"> załącznik</w:t>
      </w:r>
      <w:r w:rsidR="0025333F">
        <w:rPr>
          <w:color w:val="000000"/>
          <w:spacing w:val="-1"/>
          <w:szCs w:val="22"/>
        </w:rPr>
        <w:t>a</w:t>
      </w:r>
      <w:r w:rsidR="00F957FB">
        <w:rPr>
          <w:color w:val="000000"/>
          <w:spacing w:val="-1"/>
          <w:szCs w:val="22"/>
        </w:rPr>
        <w:t xml:space="preserve"> nr 1 </w:t>
      </w:r>
      <w:r>
        <w:rPr>
          <w:color w:val="000000"/>
          <w:spacing w:val="-1"/>
          <w:szCs w:val="22"/>
        </w:rPr>
        <w:t>do Rozporządzenia Ministra Infrastruktury w sprawie przepisów techniczno-budowlanych dotyczących dróg publicznych (Dz. U</w:t>
      </w:r>
      <w:r w:rsidR="0025333F">
        <w:rPr>
          <w:color w:val="000000"/>
          <w:spacing w:val="-1"/>
          <w:szCs w:val="22"/>
        </w:rPr>
        <w:t xml:space="preserve">. z 2022 poz. 1518 z </w:t>
      </w:r>
      <w:proofErr w:type="spellStart"/>
      <w:r w:rsidR="0025333F">
        <w:rPr>
          <w:color w:val="000000"/>
          <w:spacing w:val="-1"/>
          <w:szCs w:val="22"/>
        </w:rPr>
        <w:t>późn</w:t>
      </w:r>
      <w:proofErr w:type="spellEnd"/>
      <w:r w:rsidR="0025333F">
        <w:rPr>
          <w:color w:val="000000"/>
          <w:spacing w:val="-1"/>
          <w:szCs w:val="22"/>
        </w:rPr>
        <w:t xml:space="preserve">. zm.). </w:t>
      </w:r>
    </w:p>
    <w:p w:rsidR="0028711B" w:rsidRDefault="00E3515E" w:rsidP="00E3515E">
      <w:pPr>
        <w:numPr>
          <w:ilvl w:val="0"/>
          <w:numId w:val="13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color w:val="000000"/>
          <w:spacing w:val="-1"/>
          <w:szCs w:val="22"/>
        </w:rPr>
        <w:t xml:space="preserve">O określenie pojazdu miarodajnego, zgodnie z wymaganiami Rozporządzenia Ministra Infrastruktury w sprawie przepisów techniczno-budowlanych dotyczących dróg publicznych (Dz. U. z 2022 poz. 1518 z </w:t>
      </w:r>
      <w:proofErr w:type="spellStart"/>
      <w:r>
        <w:rPr>
          <w:color w:val="000000"/>
          <w:spacing w:val="-1"/>
          <w:szCs w:val="22"/>
        </w:rPr>
        <w:t>późn</w:t>
      </w:r>
      <w:proofErr w:type="spellEnd"/>
      <w:r>
        <w:rPr>
          <w:color w:val="000000"/>
          <w:spacing w:val="-1"/>
          <w:szCs w:val="22"/>
        </w:rPr>
        <w:t xml:space="preserve">. zm.), należy wystąpić także do Centralnego Wojskowego Centrum Rekrutacji – Ośrodka Zamiejscowego w Krakowie (CWCR OZ w Krakowie). Wzór wystąpienia </w:t>
      </w:r>
      <w:r w:rsidR="00886F4C">
        <w:rPr>
          <w:color w:val="000000"/>
          <w:spacing w:val="-1"/>
          <w:szCs w:val="22"/>
        </w:rPr>
        <w:t>w załączeniu</w:t>
      </w:r>
      <w:r>
        <w:rPr>
          <w:color w:val="000000"/>
          <w:spacing w:val="-1"/>
          <w:szCs w:val="22"/>
        </w:rPr>
        <w:t>. Geometria drogi i skrzyżowań musi być tak zaprojektowana, by zapewniała przejezdność dla pojazdu miarodajn</w:t>
      </w:r>
      <w:r w:rsidR="00886F4C">
        <w:rPr>
          <w:color w:val="000000"/>
          <w:spacing w:val="-1"/>
          <w:szCs w:val="22"/>
        </w:rPr>
        <w:t>ego określonego przez CWCR OZ w </w:t>
      </w:r>
      <w:r>
        <w:rPr>
          <w:color w:val="000000"/>
          <w:spacing w:val="-1"/>
          <w:szCs w:val="22"/>
        </w:rPr>
        <w:t>Krakowie.</w:t>
      </w:r>
    </w:p>
    <w:p w:rsidR="0025333F" w:rsidRDefault="0025333F" w:rsidP="00E3515E">
      <w:pPr>
        <w:numPr>
          <w:ilvl w:val="0"/>
          <w:numId w:val="13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color w:val="000000"/>
          <w:spacing w:val="-1"/>
          <w:szCs w:val="22"/>
        </w:rPr>
        <w:t>Przejezdność należy zapewnić stosując przepisy</w:t>
      </w:r>
      <w:r w:rsidR="00CC7479">
        <w:rPr>
          <w:color w:val="000000"/>
          <w:spacing w:val="-1"/>
          <w:szCs w:val="22"/>
        </w:rPr>
        <w:t xml:space="preserve"> wytycznych projektowania odcinków dróg zamiejskich – część </w:t>
      </w:r>
      <w:r w:rsidR="00462230">
        <w:rPr>
          <w:color w:val="000000"/>
          <w:spacing w:val="-1"/>
          <w:szCs w:val="22"/>
        </w:rPr>
        <w:t>5</w:t>
      </w:r>
      <w:r w:rsidR="00CC7479">
        <w:rPr>
          <w:color w:val="000000"/>
          <w:spacing w:val="-1"/>
          <w:szCs w:val="22"/>
        </w:rPr>
        <w:t>: uspokajanie ruchu na drogach</w:t>
      </w:r>
      <w:r w:rsidR="003D5745">
        <w:rPr>
          <w:color w:val="000000"/>
          <w:spacing w:val="-1"/>
          <w:szCs w:val="22"/>
        </w:rPr>
        <w:t xml:space="preserve"> zamiejskich i ich powiązaniu z </w:t>
      </w:r>
      <w:r w:rsidR="00CC7479">
        <w:rPr>
          <w:color w:val="000000"/>
          <w:spacing w:val="-1"/>
          <w:szCs w:val="22"/>
        </w:rPr>
        <w:t xml:space="preserve">ulicami (WR-D-22-5), </w:t>
      </w:r>
      <w:r w:rsidR="008E1E24">
        <w:rPr>
          <w:color w:val="000000"/>
          <w:spacing w:val="-1"/>
          <w:szCs w:val="22"/>
        </w:rPr>
        <w:t>wytycznych projekt</w:t>
      </w:r>
      <w:r w:rsidR="003D5745">
        <w:rPr>
          <w:color w:val="000000"/>
          <w:spacing w:val="-1"/>
          <w:szCs w:val="22"/>
        </w:rPr>
        <w:t>owania zjazdów, wyjazdów oraz wj</w:t>
      </w:r>
      <w:r w:rsidR="008E1E24">
        <w:rPr>
          <w:color w:val="000000"/>
          <w:spacing w:val="-1"/>
          <w:szCs w:val="22"/>
        </w:rPr>
        <w:t xml:space="preserve">azdów na drogach zamiejskich i ulicach (WR-D-33), </w:t>
      </w:r>
      <w:r w:rsidR="00CC7479">
        <w:rPr>
          <w:color w:val="000000"/>
          <w:spacing w:val="-1"/>
          <w:szCs w:val="22"/>
        </w:rPr>
        <w:t xml:space="preserve">a także </w:t>
      </w:r>
      <w:r>
        <w:rPr>
          <w:color w:val="000000"/>
          <w:spacing w:val="-1"/>
          <w:szCs w:val="22"/>
        </w:rPr>
        <w:t xml:space="preserve"> wytycznych projektowania skrzyżowań drogowych – część 1: wymagania podstawowe (WR-D-31-1),</w:t>
      </w:r>
      <w:r w:rsidR="00252EF7">
        <w:rPr>
          <w:color w:val="000000"/>
          <w:spacing w:val="-1"/>
          <w:szCs w:val="22"/>
        </w:rPr>
        <w:t xml:space="preserve"> część 2: skrzyżowania zwykłe i </w:t>
      </w:r>
      <w:r>
        <w:rPr>
          <w:color w:val="000000"/>
          <w:spacing w:val="-1"/>
          <w:szCs w:val="22"/>
        </w:rPr>
        <w:t>skanalizowane (WR-D-31-2), część 3: ronda (WR-D-31-3).</w:t>
      </w:r>
    </w:p>
    <w:p w:rsidR="00462230" w:rsidRPr="00E3515E" w:rsidRDefault="00462230" w:rsidP="00E3515E">
      <w:pPr>
        <w:numPr>
          <w:ilvl w:val="0"/>
          <w:numId w:val="13"/>
        </w:numPr>
        <w:spacing w:line="240" w:lineRule="auto"/>
        <w:ind w:left="0" w:firstLine="0"/>
        <w:jc w:val="both"/>
        <w:rPr>
          <w:color w:val="000000"/>
          <w:spacing w:val="-1"/>
          <w:szCs w:val="22"/>
        </w:rPr>
      </w:pPr>
      <w:r>
        <w:rPr>
          <w:color w:val="000000"/>
          <w:spacing w:val="-1"/>
          <w:szCs w:val="22"/>
        </w:rPr>
        <w:t xml:space="preserve">Wybór pojazdu miarodajnego należy dokonać stosując </w:t>
      </w:r>
      <w:r w:rsidR="00A66A28">
        <w:rPr>
          <w:color w:val="000000"/>
          <w:spacing w:val="-1"/>
          <w:szCs w:val="22"/>
        </w:rPr>
        <w:t>procedurę określoną w punkcie 6.3 wytycznych projektowania odcinków dróg zamiejskich – część 1: Wymagania podstawowe (WR-D-22-1), a w zakresie skrzyżowań określoną w punkcie 5.4 wytycznych projektowania skrzyżowań drogowych - część 1: wymagania podstawowe (WR-D-31-1).</w:t>
      </w:r>
    </w:p>
    <w:sectPr w:rsidR="00462230" w:rsidRPr="00E3515E" w:rsidSect="0005557A">
      <w:headerReference w:type="default" r:id="rId9"/>
      <w:pgSz w:w="11906" w:h="16838"/>
      <w:pgMar w:top="212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E10" w:rsidRDefault="00317E10" w:rsidP="009A6445">
      <w:pPr>
        <w:spacing w:line="240" w:lineRule="auto"/>
      </w:pPr>
      <w:r>
        <w:separator/>
      </w:r>
    </w:p>
  </w:endnote>
  <w:endnote w:type="continuationSeparator" w:id="0">
    <w:p w:rsidR="00317E10" w:rsidRDefault="00317E10" w:rsidP="009A64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E10" w:rsidRDefault="00317E10" w:rsidP="009A6445">
      <w:pPr>
        <w:spacing w:line="240" w:lineRule="auto"/>
      </w:pPr>
      <w:r>
        <w:separator/>
      </w:r>
    </w:p>
  </w:footnote>
  <w:footnote w:type="continuationSeparator" w:id="0">
    <w:p w:rsidR="00317E10" w:rsidRDefault="00317E10" w:rsidP="009A64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445" w:rsidRPr="009A6445" w:rsidRDefault="009A6445" w:rsidP="009A6445">
    <w:pPr>
      <w:pStyle w:val="Nagwek"/>
      <w:jc w:val="center"/>
      <w:rPr>
        <w:sz w:val="20"/>
        <w:szCs w:val="20"/>
      </w:rPr>
    </w:pPr>
    <w:r w:rsidRPr="009A6445">
      <w:rPr>
        <w:rFonts w:cs="Arial"/>
        <w:sz w:val="20"/>
        <w:szCs w:val="20"/>
      </w:rPr>
      <w:t>„</w:t>
    </w:r>
    <w:r w:rsidRPr="009A6445">
      <w:rPr>
        <w:rStyle w:val="FontStyle24"/>
        <w:rFonts w:cs="Arial"/>
        <w:b/>
        <w:bCs/>
        <w:iCs/>
        <w:sz w:val="20"/>
        <w:szCs w:val="20"/>
      </w:rPr>
      <w:t xml:space="preserve">Budowa sygnalizacji świetlnej na skrzyżowaniu DK 28 z DW 956 (km 33+720) wraz </w:t>
    </w:r>
    <w:r w:rsidRPr="009A6445">
      <w:rPr>
        <w:rStyle w:val="FontStyle24"/>
        <w:rFonts w:cs="Arial"/>
        <w:b/>
        <w:bCs/>
        <w:iCs/>
        <w:sz w:val="20"/>
        <w:szCs w:val="20"/>
      </w:rPr>
      <w:br/>
      <w:t>z budową oświetlenia ulicznego</w:t>
    </w:r>
    <w:r w:rsidRPr="009A6445">
      <w:rPr>
        <w:rFonts w:cs="Arial"/>
        <w:sz w:val="20"/>
        <w:szCs w:val="20"/>
      </w:rPr>
      <w:t>”</w:t>
    </w:r>
  </w:p>
  <w:p w:rsidR="009A6445" w:rsidRPr="009A6445" w:rsidRDefault="009A6445" w:rsidP="009A6445">
    <w:pPr>
      <w:pStyle w:val="Nagwek"/>
      <w:jc w:val="right"/>
      <w:rPr>
        <w:rFonts w:cs="Arial"/>
        <w:b/>
        <w:bCs/>
        <w:i/>
        <w:sz w:val="20"/>
        <w:szCs w:val="20"/>
      </w:rPr>
    </w:pPr>
    <w:r w:rsidRPr="009A6445">
      <w:rPr>
        <w:rFonts w:cs="Arial"/>
        <w:b/>
        <w:bCs/>
        <w:i/>
        <w:sz w:val="20"/>
        <w:szCs w:val="20"/>
      </w:rPr>
      <w:t>Zalec</w:t>
    </w:r>
    <w:r w:rsidRPr="009A6445">
      <w:rPr>
        <w:rFonts w:cs="Arial"/>
        <w:b/>
        <w:bCs/>
        <w:i/>
        <w:sz w:val="20"/>
        <w:szCs w:val="20"/>
      </w:rPr>
      <w:t>enia</w:t>
    </w:r>
    <w:r w:rsidRPr="009A6445">
      <w:rPr>
        <w:rFonts w:cs="Arial"/>
        <w:b/>
        <w:bCs/>
        <w:i/>
        <w:sz w:val="20"/>
        <w:szCs w:val="20"/>
      </w:rPr>
      <w:t xml:space="preserve"> 1.1.1 – 1.1.5</w:t>
    </w:r>
  </w:p>
  <w:p w:rsidR="009A6445" w:rsidRPr="009A6445" w:rsidRDefault="009A6445" w:rsidP="009A6445">
    <w:pPr>
      <w:pStyle w:val="Nagwek"/>
      <w:jc w:val="right"/>
      <w:rPr>
        <w:sz w:val="20"/>
        <w:szCs w:val="20"/>
      </w:rPr>
    </w:pPr>
    <w:r w:rsidRPr="009A6445">
      <w:rPr>
        <w:rFonts w:cs="Arial"/>
        <w:b/>
        <w:bCs/>
        <w:i/>
        <w:sz w:val="20"/>
        <w:szCs w:val="20"/>
      </w:rPr>
      <w:t>Załącznik nr 2 do OPZ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55894"/>
    <w:multiLevelType w:val="hybridMultilevel"/>
    <w:tmpl w:val="DE364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372B8"/>
    <w:multiLevelType w:val="hybridMultilevel"/>
    <w:tmpl w:val="10F4D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5411"/>
    <w:multiLevelType w:val="hybridMultilevel"/>
    <w:tmpl w:val="C106A490"/>
    <w:lvl w:ilvl="0" w:tplc="A362950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43E69"/>
    <w:multiLevelType w:val="hybridMultilevel"/>
    <w:tmpl w:val="485C7A72"/>
    <w:lvl w:ilvl="0" w:tplc="D160C7B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E02C4"/>
    <w:multiLevelType w:val="hybridMultilevel"/>
    <w:tmpl w:val="9BF0BA8E"/>
    <w:lvl w:ilvl="0" w:tplc="4E161D4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D2984"/>
    <w:multiLevelType w:val="hybridMultilevel"/>
    <w:tmpl w:val="CB225BAC"/>
    <w:lvl w:ilvl="0" w:tplc="0415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6" w15:restartNumberingAfterBreak="0">
    <w:nsid w:val="3F0977BC"/>
    <w:multiLevelType w:val="hybridMultilevel"/>
    <w:tmpl w:val="10F4D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06102"/>
    <w:multiLevelType w:val="hybridMultilevel"/>
    <w:tmpl w:val="B07AD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D21FD"/>
    <w:multiLevelType w:val="hybridMultilevel"/>
    <w:tmpl w:val="C94E6266"/>
    <w:lvl w:ilvl="0" w:tplc="3CFAA51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C14C9"/>
    <w:multiLevelType w:val="hybridMultilevel"/>
    <w:tmpl w:val="1C8200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730940"/>
    <w:multiLevelType w:val="hybridMultilevel"/>
    <w:tmpl w:val="D6D43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E2870"/>
    <w:multiLevelType w:val="multilevel"/>
    <w:tmpl w:val="5DD895C8"/>
    <w:lvl w:ilvl="0">
      <w:start w:val="1"/>
      <w:numFmt w:val="decimal"/>
      <w:pStyle w:val="Nagwek1A"/>
      <w:lvlText w:val="%1."/>
      <w:lvlJc w:val="left"/>
      <w:pPr>
        <w:ind w:left="360" w:hanging="360"/>
      </w:pPr>
    </w:lvl>
    <w:lvl w:ilvl="1">
      <w:start w:val="1"/>
      <w:numFmt w:val="decimal"/>
      <w:pStyle w:val="Nagwek2A"/>
      <w:lvlText w:val="%1.%2."/>
      <w:lvlJc w:val="left"/>
      <w:pPr>
        <w:ind w:left="792" w:hanging="432"/>
      </w:pPr>
    </w:lvl>
    <w:lvl w:ilvl="2">
      <w:start w:val="1"/>
      <w:numFmt w:val="decimal"/>
      <w:pStyle w:val="Nagwek3A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10"/>
  </w:num>
  <w:num w:numId="9">
    <w:abstractNumId w:val="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745"/>
    <w:rsid w:val="00024CEF"/>
    <w:rsid w:val="0005557A"/>
    <w:rsid w:val="000A0306"/>
    <w:rsid w:val="000B4359"/>
    <w:rsid w:val="000D356C"/>
    <w:rsid w:val="000D7AC5"/>
    <w:rsid w:val="000E503E"/>
    <w:rsid w:val="00131FF8"/>
    <w:rsid w:val="00152972"/>
    <w:rsid w:val="0017025A"/>
    <w:rsid w:val="00172DD8"/>
    <w:rsid w:val="001817C4"/>
    <w:rsid w:val="001A6C26"/>
    <w:rsid w:val="001F66F0"/>
    <w:rsid w:val="00200D58"/>
    <w:rsid w:val="002310B9"/>
    <w:rsid w:val="00252EF7"/>
    <w:rsid w:val="0025333F"/>
    <w:rsid w:val="002705EB"/>
    <w:rsid w:val="00285E05"/>
    <w:rsid w:val="0028711B"/>
    <w:rsid w:val="00287FD2"/>
    <w:rsid w:val="00317E10"/>
    <w:rsid w:val="00340CB4"/>
    <w:rsid w:val="00341C52"/>
    <w:rsid w:val="003717E1"/>
    <w:rsid w:val="003A7C29"/>
    <w:rsid w:val="003C5243"/>
    <w:rsid w:val="003D5745"/>
    <w:rsid w:val="003F0BB6"/>
    <w:rsid w:val="003F2FD1"/>
    <w:rsid w:val="003F41EE"/>
    <w:rsid w:val="003F4360"/>
    <w:rsid w:val="004221AB"/>
    <w:rsid w:val="00462230"/>
    <w:rsid w:val="00486BD5"/>
    <w:rsid w:val="004A2D6D"/>
    <w:rsid w:val="004D1C2F"/>
    <w:rsid w:val="004D7D98"/>
    <w:rsid w:val="004E0C8E"/>
    <w:rsid w:val="005071FC"/>
    <w:rsid w:val="00536672"/>
    <w:rsid w:val="005629B5"/>
    <w:rsid w:val="00580E3B"/>
    <w:rsid w:val="00581764"/>
    <w:rsid w:val="00583FDF"/>
    <w:rsid w:val="005C1126"/>
    <w:rsid w:val="005E1991"/>
    <w:rsid w:val="00603CC7"/>
    <w:rsid w:val="0061539E"/>
    <w:rsid w:val="00620112"/>
    <w:rsid w:val="006321CD"/>
    <w:rsid w:val="006401BF"/>
    <w:rsid w:val="0069344B"/>
    <w:rsid w:val="006B1B3E"/>
    <w:rsid w:val="006C2906"/>
    <w:rsid w:val="006D1C5A"/>
    <w:rsid w:val="006D5831"/>
    <w:rsid w:val="00704B0C"/>
    <w:rsid w:val="00724D9C"/>
    <w:rsid w:val="0073137A"/>
    <w:rsid w:val="00736FCE"/>
    <w:rsid w:val="00762329"/>
    <w:rsid w:val="007A57FE"/>
    <w:rsid w:val="007C7F7C"/>
    <w:rsid w:val="008419EC"/>
    <w:rsid w:val="008428F1"/>
    <w:rsid w:val="0087138D"/>
    <w:rsid w:val="00873541"/>
    <w:rsid w:val="00886F4C"/>
    <w:rsid w:val="00895DEB"/>
    <w:rsid w:val="008A3CE1"/>
    <w:rsid w:val="008B56B2"/>
    <w:rsid w:val="008E1E24"/>
    <w:rsid w:val="00966648"/>
    <w:rsid w:val="0097021A"/>
    <w:rsid w:val="00993B49"/>
    <w:rsid w:val="009A2E07"/>
    <w:rsid w:val="009A6445"/>
    <w:rsid w:val="009E0745"/>
    <w:rsid w:val="009E4060"/>
    <w:rsid w:val="009F6D0E"/>
    <w:rsid w:val="009F6D9C"/>
    <w:rsid w:val="00A132DD"/>
    <w:rsid w:val="00A57F4B"/>
    <w:rsid w:val="00A66A28"/>
    <w:rsid w:val="00AB753F"/>
    <w:rsid w:val="00B7327C"/>
    <w:rsid w:val="00B86156"/>
    <w:rsid w:val="00B97D6D"/>
    <w:rsid w:val="00BC21EC"/>
    <w:rsid w:val="00C04A4C"/>
    <w:rsid w:val="00C10330"/>
    <w:rsid w:val="00C111DC"/>
    <w:rsid w:val="00C22656"/>
    <w:rsid w:val="00C42C27"/>
    <w:rsid w:val="00C83B44"/>
    <w:rsid w:val="00C90B9C"/>
    <w:rsid w:val="00CB13A8"/>
    <w:rsid w:val="00CC7479"/>
    <w:rsid w:val="00CC7A3C"/>
    <w:rsid w:val="00CE1433"/>
    <w:rsid w:val="00D2096B"/>
    <w:rsid w:val="00D62C4E"/>
    <w:rsid w:val="00D64D66"/>
    <w:rsid w:val="00DB6589"/>
    <w:rsid w:val="00DC78EA"/>
    <w:rsid w:val="00DE69E5"/>
    <w:rsid w:val="00E3515E"/>
    <w:rsid w:val="00E952DD"/>
    <w:rsid w:val="00EE4608"/>
    <w:rsid w:val="00F0517B"/>
    <w:rsid w:val="00F074F9"/>
    <w:rsid w:val="00F32041"/>
    <w:rsid w:val="00F57048"/>
    <w:rsid w:val="00F957FB"/>
    <w:rsid w:val="00FA2724"/>
    <w:rsid w:val="00FB0BC3"/>
    <w:rsid w:val="00FB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C5A19A-2659-494C-9185-1403FC35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745"/>
    <w:pPr>
      <w:spacing w:after="0" w:line="300" w:lineRule="auto"/>
    </w:pPr>
    <w:rPr>
      <w:rFonts w:ascii="Arial" w:eastAsia="Calibri" w:hAnsi="Arial" w:cs="Times New Roman"/>
      <w:szCs w:val="24"/>
    </w:rPr>
  </w:style>
  <w:style w:type="paragraph" w:styleId="Nagwek3">
    <w:name w:val="heading 3"/>
    <w:basedOn w:val="Nagwek3A"/>
    <w:next w:val="Normalny"/>
    <w:link w:val="Nagwek3Znak"/>
    <w:uiPriority w:val="9"/>
    <w:unhideWhenUsed/>
    <w:qFormat/>
    <w:rsid w:val="009E0745"/>
    <w:pPr>
      <w:ind w:left="930" w:hanging="504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E0745"/>
    <w:rPr>
      <w:rFonts w:ascii="Arial" w:eastAsia="Times New Roman" w:hAnsi="Arial" w:cs="Arial"/>
      <w:b/>
      <w:szCs w:val="24"/>
    </w:rPr>
  </w:style>
  <w:style w:type="paragraph" w:customStyle="1" w:styleId="Nagwek1A">
    <w:name w:val="Nagłówek 1_A"/>
    <w:basedOn w:val="Akapitzlist"/>
    <w:qFormat/>
    <w:rsid w:val="009E0745"/>
    <w:pPr>
      <w:keepNext/>
      <w:numPr>
        <w:numId w:val="1"/>
      </w:numPr>
      <w:tabs>
        <w:tab w:val="left" w:pos="357"/>
      </w:tabs>
      <w:spacing w:before="240" w:after="120" w:line="240" w:lineRule="auto"/>
      <w:ind w:left="720" w:firstLine="0"/>
      <w:contextualSpacing w:val="0"/>
      <w:outlineLvl w:val="1"/>
    </w:pPr>
    <w:rPr>
      <w:rFonts w:eastAsia="Times New Roman" w:cs="Arial"/>
      <w:b/>
      <w:caps/>
    </w:rPr>
  </w:style>
  <w:style w:type="paragraph" w:customStyle="1" w:styleId="Nagwek2A">
    <w:name w:val="Nagłówek 2_A"/>
    <w:basedOn w:val="Akapitzlist"/>
    <w:qFormat/>
    <w:rsid w:val="009E0745"/>
    <w:pPr>
      <w:keepNext/>
      <w:numPr>
        <w:ilvl w:val="1"/>
        <w:numId w:val="1"/>
      </w:numPr>
      <w:tabs>
        <w:tab w:val="num" w:pos="360"/>
      </w:tabs>
      <w:spacing w:before="240" w:after="120" w:line="240" w:lineRule="exact"/>
      <w:ind w:left="0" w:firstLine="0"/>
      <w:contextualSpacing w:val="0"/>
      <w:jc w:val="both"/>
      <w:outlineLvl w:val="1"/>
    </w:pPr>
    <w:rPr>
      <w:rFonts w:eastAsia="Times New Roman"/>
      <w:b/>
    </w:rPr>
  </w:style>
  <w:style w:type="paragraph" w:customStyle="1" w:styleId="Nagwek3A">
    <w:name w:val="Nagłówek 3_A"/>
    <w:basedOn w:val="Akapitzlist"/>
    <w:qFormat/>
    <w:rsid w:val="009E0745"/>
    <w:pPr>
      <w:keepNext/>
      <w:numPr>
        <w:ilvl w:val="2"/>
        <w:numId w:val="1"/>
      </w:numPr>
      <w:tabs>
        <w:tab w:val="left" w:pos="851"/>
      </w:tabs>
      <w:spacing w:before="240" w:after="120" w:line="240" w:lineRule="exact"/>
      <w:ind w:left="0" w:firstLine="0"/>
      <w:contextualSpacing w:val="0"/>
      <w:outlineLvl w:val="1"/>
    </w:pPr>
    <w:rPr>
      <w:rFonts w:eastAsia="Times New Roman" w:cs="Arial"/>
      <w:b/>
    </w:rPr>
  </w:style>
  <w:style w:type="paragraph" w:styleId="Akapitzlist">
    <w:name w:val="List Paragraph"/>
    <w:basedOn w:val="Normalny"/>
    <w:link w:val="AkapitzlistZnak"/>
    <w:qFormat/>
    <w:rsid w:val="009E07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28F1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locked/>
    <w:rsid w:val="00FB0BC3"/>
    <w:rPr>
      <w:rFonts w:ascii="Arial" w:eastAsia="Calibri" w:hAnsi="Arial" w:cs="Times New Roman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A64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445"/>
    <w:rPr>
      <w:rFonts w:ascii="Arial" w:eastAsia="Calibri" w:hAnsi="Arial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64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445"/>
    <w:rPr>
      <w:rFonts w:ascii="Arial" w:eastAsia="Calibri" w:hAnsi="Arial" w:cs="Times New Roman"/>
      <w:szCs w:val="24"/>
    </w:rPr>
  </w:style>
  <w:style w:type="character" w:customStyle="1" w:styleId="FontStyle24">
    <w:name w:val="Font Style24"/>
    <w:rsid w:val="009A644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5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w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4B18E-220D-4E68-ABC2-E83F3068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1798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mstachura</dc:creator>
  <cp:lastModifiedBy>Krzysztof Łata</cp:lastModifiedBy>
  <cp:revision>6</cp:revision>
  <cp:lastPrinted>2023-11-16T10:34:00Z</cp:lastPrinted>
  <dcterms:created xsi:type="dcterms:W3CDTF">2024-05-22T07:33:00Z</dcterms:created>
  <dcterms:modified xsi:type="dcterms:W3CDTF">2024-05-22T07:39:00Z</dcterms:modified>
</cp:coreProperties>
</file>